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A24C6" w14:textId="77777777" w:rsidR="00503955" w:rsidRPr="00601D75" w:rsidRDefault="00503955" w:rsidP="00306950">
      <w:pPr>
        <w:pStyle w:val="Heading1A"/>
      </w:pPr>
      <w:r w:rsidRPr="00601D75">
        <w:t>RAPPORT</w:t>
      </w:r>
      <w:r w:rsidR="00A638FD" w:rsidRPr="00601D75">
        <w:t xml:space="preserve"> </w:t>
      </w:r>
      <w:r w:rsidRPr="00601D75">
        <w:t>DES</w:t>
      </w:r>
      <w:r w:rsidR="00A638FD" w:rsidRPr="00601D75">
        <w:t xml:space="preserve"> </w:t>
      </w:r>
      <w:r w:rsidRPr="00601D75">
        <w:t>COMPTABLES</w:t>
      </w:r>
      <w:r w:rsidR="00A638FD" w:rsidRPr="00601D75">
        <w:t xml:space="preserve"> </w:t>
      </w:r>
      <w:r w:rsidRPr="00601D75">
        <w:t>CONCERNANT</w:t>
      </w:r>
      <w:r w:rsidR="00A638FD" w:rsidRPr="00601D75">
        <w:t xml:space="preserve"> </w:t>
      </w:r>
      <w:r w:rsidRPr="00601D75">
        <w:t>LA</w:t>
      </w:r>
      <w:r w:rsidR="00A638FD" w:rsidRPr="00601D75">
        <w:t xml:space="preserve"> </w:t>
      </w:r>
      <w:r w:rsidRPr="00601D75">
        <w:t>PÉRIODE</w:t>
      </w:r>
      <w:r w:rsidR="00A638FD" w:rsidRPr="00601D75">
        <w:t xml:space="preserve"> </w:t>
      </w:r>
      <w:r w:rsidRPr="00601D75">
        <w:t>ALLANT</w:t>
      </w:r>
      <w:r w:rsidR="009343EE" w:rsidRPr="00601D75">
        <w:t xml:space="preserve"> </w:t>
      </w:r>
      <w:r w:rsidRPr="00601D75">
        <w:t>DU</w:t>
      </w:r>
      <w:r w:rsidR="00A638FD" w:rsidRPr="00601D75">
        <w:t xml:space="preserve"> </w:t>
      </w:r>
      <w:r w:rsidRPr="00601D75">
        <w:t>1</w:t>
      </w:r>
      <w:r w:rsidRPr="00601D75">
        <w:rPr>
          <w:vertAlign w:val="superscript"/>
        </w:rPr>
        <w:t>ER</w:t>
      </w:r>
      <w:r w:rsidR="00A638FD" w:rsidRPr="00601D75">
        <w:t xml:space="preserve"> </w:t>
      </w:r>
      <w:r w:rsidRPr="00601D75">
        <w:t>SEPTEMBRE</w:t>
      </w:r>
      <w:r w:rsidR="00A638FD" w:rsidRPr="00601D75">
        <w:t xml:space="preserve"> </w:t>
      </w:r>
      <w:r w:rsidR="002B08A9">
        <w:t>2020</w:t>
      </w:r>
      <w:r w:rsidR="00A638FD" w:rsidRPr="00601D75">
        <w:t xml:space="preserve"> </w:t>
      </w:r>
      <w:r w:rsidRPr="00601D75">
        <w:t>AU</w:t>
      </w:r>
      <w:r w:rsidR="00A638FD" w:rsidRPr="00601D75">
        <w:t xml:space="preserve"> </w:t>
      </w:r>
      <w:r w:rsidRPr="00601D75">
        <w:t>31</w:t>
      </w:r>
      <w:r w:rsidR="00A638FD" w:rsidRPr="00601D75">
        <w:t xml:space="preserve"> </w:t>
      </w:r>
      <w:r w:rsidRPr="00601D75">
        <w:t>MARS</w:t>
      </w:r>
      <w:r w:rsidR="00A638FD" w:rsidRPr="00601D75">
        <w:t xml:space="preserve"> </w:t>
      </w:r>
      <w:r w:rsidR="002B08A9">
        <w:t>2021</w:t>
      </w:r>
    </w:p>
    <w:p w14:paraId="42919AD1" w14:textId="77777777" w:rsidR="00503955" w:rsidRPr="00A638FD" w:rsidRDefault="00503955" w:rsidP="009343EE">
      <w:pPr>
        <w:rPr>
          <w:lang w:val="fr-CA"/>
        </w:rPr>
      </w:pPr>
      <w:r w:rsidRPr="00A638FD">
        <w:rPr>
          <w:lang w:val="fr-CA"/>
        </w:rPr>
        <w:t>À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l'attention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ministère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l'Éducation</w:t>
      </w:r>
    </w:p>
    <w:p w14:paraId="66ED2A6D" w14:textId="77777777" w:rsidR="00503955" w:rsidRPr="00A638FD" w:rsidRDefault="00503955" w:rsidP="009343EE">
      <w:pPr>
        <w:rPr>
          <w:lang w:val="fr-CA"/>
        </w:rPr>
      </w:pPr>
      <w:r w:rsidRPr="00A638FD">
        <w:rPr>
          <w:lang w:val="fr-CA"/>
        </w:rPr>
        <w:t>À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la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demande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conseil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scolaire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district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ABC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(le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«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conseil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»),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nous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avons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suivi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procédures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suivantes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pour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la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période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allant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1</w:t>
      </w:r>
      <w:r w:rsidRPr="00A638FD">
        <w:rPr>
          <w:vertAlign w:val="superscript"/>
          <w:lang w:val="fr-CA"/>
        </w:rPr>
        <w:t>er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septembre</w:t>
      </w:r>
      <w:r w:rsidR="00A638FD" w:rsidRPr="00A638FD">
        <w:rPr>
          <w:lang w:val="fr-CA"/>
        </w:rPr>
        <w:t xml:space="preserve"> </w:t>
      </w:r>
      <w:r w:rsidR="002B08A9">
        <w:rPr>
          <w:lang w:val="fr-CA"/>
        </w:rPr>
        <w:t>2020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31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mars</w:t>
      </w:r>
      <w:r w:rsidR="00A638FD" w:rsidRPr="00A638FD">
        <w:rPr>
          <w:lang w:val="fr-CA"/>
        </w:rPr>
        <w:t xml:space="preserve"> </w:t>
      </w:r>
      <w:r w:rsidR="002B08A9">
        <w:rPr>
          <w:lang w:val="fr-CA"/>
        </w:rPr>
        <w:t>2021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(la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«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période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visée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»)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:</w:t>
      </w:r>
    </w:p>
    <w:p w14:paraId="33818405" w14:textId="77777777" w:rsidR="00503955" w:rsidRPr="00A638FD" w:rsidRDefault="00503955" w:rsidP="00306950">
      <w:pPr>
        <w:pStyle w:val="Heading2A"/>
      </w:pPr>
      <w:r w:rsidRPr="00A638FD">
        <w:t>I.</w:t>
      </w:r>
      <w:r w:rsidR="00A638FD" w:rsidRPr="00A638FD">
        <w:t xml:space="preserve"> </w:t>
      </w:r>
      <w:r w:rsidRPr="00A638FD">
        <w:t>Tableaux</w:t>
      </w:r>
      <w:r w:rsidR="00A638FD" w:rsidRPr="00A638FD">
        <w:t xml:space="preserve"> </w:t>
      </w:r>
      <w:r w:rsidRPr="00A638FD">
        <w:t>19</w:t>
      </w:r>
      <w:r w:rsidR="00A638FD" w:rsidRPr="00A638FD">
        <w:t xml:space="preserve"> </w:t>
      </w:r>
      <w:r w:rsidRPr="00A638FD">
        <w:t>et</w:t>
      </w:r>
      <w:r w:rsidR="00A638FD" w:rsidRPr="00A638FD">
        <w:t xml:space="preserve"> </w:t>
      </w:r>
      <w:r w:rsidRPr="00A638FD">
        <w:t>20</w:t>
      </w:r>
      <w:r w:rsidR="00A638FD" w:rsidRPr="00A638FD">
        <w:t xml:space="preserve"> </w:t>
      </w:r>
      <w:r w:rsidRPr="00A638FD">
        <w:t>du</w:t>
      </w:r>
      <w:r w:rsidR="00A638FD" w:rsidRPr="00A638FD">
        <w:t xml:space="preserve"> </w:t>
      </w:r>
      <w:r w:rsidRPr="00A638FD">
        <w:t>SIFE</w:t>
      </w:r>
      <w:r w:rsidR="00A638FD" w:rsidRPr="00A638FD">
        <w:t xml:space="preserve"> </w:t>
      </w:r>
      <w:r w:rsidRPr="00A638FD">
        <w:t>du</w:t>
      </w:r>
      <w:r w:rsidR="00A638FD" w:rsidRPr="00A638FD">
        <w:t xml:space="preserve"> </w:t>
      </w:r>
      <w:r w:rsidRPr="00A638FD">
        <w:t>conseil</w:t>
      </w:r>
    </w:p>
    <w:p w14:paraId="0AB2874A" w14:textId="77777777" w:rsidR="00503955" w:rsidRPr="00A638FD" w:rsidRDefault="00503955" w:rsidP="009343EE">
      <w:pPr>
        <w:rPr>
          <w:lang w:val="fr-CA"/>
        </w:rPr>
      </w:pPr>
      <w:r w:rsidRPr="00A638FD">
        <w:rPr>
          <w:lang w:val="fr-CA"/>
        </w:rPr>
        <w:t>Nous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avons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obtenu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conseil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tableaux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19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et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20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SIFE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et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avons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accompli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tâches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suivantes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:</w:t>
      </w:r>
    </w:p>
    <w:p w14:paraId="7DFCE2B1" w14:textId="77777777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concerne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A.1,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6991A512" w14:textId="77777777" w:rsidR="00503955" w:rsidRPr="009343EE" w:rsidRDefault="00503955" w:rsidP="00E05BC3">
      <w:pPr>
        <w:pStyle w:val="ListParagraph"/>
        <w:numPr>
          <w:ilvl w:val="1"/>
          <w:numId w:val="5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balance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vérification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(ou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grand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général)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2021</w:t>
      </w:r>
      <w:r w:rsidRPr="009343EE">
        <w:rPr>
          <w:lang w:val="fr-CA"/>
        </w:rPr>
        <w:t>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sous-totaux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A.1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constaté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concordance.</w:t>
      </w:r>
    </w:p>
    <w:p w14:paraId="13769EA6" w14:textId="77777777" w:rsidR="00503955" w:rsidRPr="009343EE" w:rsidRDefault="00503955" w:rsidP="00E05BC3">
      <w:pPr>
        <w:pStyle w:val="ListParagraph"/>
        <w:numPr>
          <w:ilvl w:val="1"/>
          <w:numId w:val="5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partir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question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(1)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ci-dessus,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cinq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(actifs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/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passifs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/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accumulés/(déficit)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/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/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grand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général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constaté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concordance.</w:t>
      </w:r>
    </w:p>
    <w:p w14:paraId="48B10A7D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énumérer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4AEC427D" w14:textId="77777777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échéant,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l’écriture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contre-passer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comptabilisés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pendant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fonds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activités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scolaires.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l'écriture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l'appui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A.2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20.</w:t>
      </w:r>
    </w:p>
    <w:p w14:paraId="64BF9085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étape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seuil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pas)</w:t>
      </w:r>
    </w:p>
    <w:p w14:paraId="241839BA" w14:textId="77777777" w:rsidR="00503955" w:rsidRPr="0032225A" w:rsidRDefault="00503955" w:rsidP="00E05BC3">
      <w:pPr>
        <w:pStyle w:val="ListParagraph"/>
        <w:numPr>
          <w:ilvl w:val="0"/>
          <w:numId w:val="1"/>
        </w:numPr>
      </w:pP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échéant,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l’écriture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contre-passer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comptabilisés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pendant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bureaux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auxiliaires.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l’écriture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20.</w:t>
      </w:r>
      <w:r w:rsidR="00A638FD" w:rsidRPr="009343EE">
        <w:rPr>
          <w:lang w:val="fr-CA"/>
        </w:rPr>
        <w:t xml:space="preserve"> </w:t>
      </w:r>
      <w:r w:rsidRPr="0032225A">
        <w:t>(</w:t>
      </w:r>
      <w:r w:rsidR="00797409">
        <w:t>c</w:t>
      </w:r>
      <w:r w:rsidRPr="0032225A">
        <w:t>olonne</w:t>
      </w:r>
      <w:r w:rsidR="00A638FD">
        <w:t xml:space="preserve"> </w:t>
      </w:r>
      <w:r w:rsidRPr="0032225A">
        <w:t>A.3)</w:t>
      </w:r>
    </w:p>
    <w:p w14:paraId="506B4E44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étape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seuil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pas)</w:t>
      </w:r>
    </w:p>
    <w:p w14:paraId="3FA65B4C" w14:textId="77777777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lastRenderedPageBreak/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B.1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échéant,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contre-passation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comptabilisaient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débiteurs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créditeurs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n’ont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contre-passées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grand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général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pendant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subséquente.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manière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aléatoire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%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minimum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cinq),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constaté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concordance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figurait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B.1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cas.</w:t>
      </w:r>
    </w:p>
    <w:p w14:paraId="6C094F38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énumérer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étape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</w:t>
      </w:r>
      <w:r w:rsidR="00071F04" w:rsidRPr="009343EE">
        <w:rPr>
          <w:lang w:val="fr-CA"/>
        </w:rPr>
        <w:t>applique</w:t>
      </w:r>
      <w:r w:rsidR="00A638FD" w:rsidRPr="009343EE">
        <w:rPr>
          <w:lang w:val="fr-CA"/>
        </w:rPr>
        <w:t xml:space="preserve"> </w:t>
      </w:r>
      <w:r w:rsidR="00071F04" w:rsidRPr="009343EE">
        <w:rPr>
          <w:lang w:val="fr-CA"/>
        </w:rPr>
        <w:t>pas,</w:t>
      </w:r>
      <w:r w:rsidR="00A638FD" w:rsidRPr="009343EE">
        <w:rPr>
          <w:lang w:val="fr-CA"/>
        </w:rPr>
        <w:t xml:space="preserve"> </w:t>
      </w:r>
      <w:r w:rsidR="00071F04"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="00071F04"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="00071F04"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3C3104AA" w14:textId="77777777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payer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B.2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échéant,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antérieure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2021</w:t>
      </w:r>
      <w:r w:rsidRPr="009343EE">
        <w:rPr>
          <w:lang w:val="fr-CA"/>
        </w:rPr>
        <w:t>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manière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aléatoire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%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minimum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cinq),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constaté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concordance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figurant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antérieure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2021</w:t>
      </w:r>
      <w:r w:rsidRPr="009343EE">
        <w:rPr>
          <w:lang w:val="fr-CA"/>
        </w:rPr>
        <w:t>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B.2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cas.</w:t>
      </w:r>
    </w:p>
    <w:p w14:paraId="3F8CC832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énumérer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étape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16E90939" w14:textId="77777777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concerne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faits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comptabiliser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intérêts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prêt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l’Office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ontarien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(OOF)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B.3,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comptabilisés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B.3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20.</w:t>
      </w:r>
    </w:p>
    <w:p w14:paraId="05138822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étape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seuil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pas)</w:t>
      </w:r>
    </w:p>
    <w:p w14:paraId="595A2B36" w14:textId="77777777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C.1,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effectués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retraiter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Ministère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entre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diverses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catégories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l’appui.</w:t>
      </w:r>
    </w:p>
    <w:p w14:paraId="73388C8F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énumérer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étape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5B7530E6" w14:textId="77777777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lastRenderedPageBreak/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concerne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enregistrés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taxes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39E1D793" w14:textId="77777777" w:rsidR="00503955" w:rsidRPr="009343EE" w:rsidRDefault="00503955" w:rsidP="00E05BC3">
      <w:pPr>
        <w:pStyle w:val="ListParagraph"/>
        <w:numPr>
          <w:ilvl w:val="1"/>
          <w:numId w:val="6"/>
        </w:numPr>
        <w:rPr>
          <w:lang w:val="fr-CA"/>
        </w:rPr>
      </w:pP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allant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</w:t>
      </w:r>
      <w:r w:rsidRPr="009343EE">
        <w:rPr>
          <w:vertAlign w:val="superscript"/>
          <w:lang w:val="fr-CA"/>
        </w:rPr>
        <w:t>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septembre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décembre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2817EB16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récents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maximum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municipalités)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visée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soustrayant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inclus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financiers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s’élèvent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62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%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indiqué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11B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SIFE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l’année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terminée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2020</w:t>
      </w:r>
      <w:r w:rsidRPr="009343EE">
        <w:rPr>
          <w:lang w:val="fr-CA"/>
        </w:rPr>
        <w:t>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total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(compte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renseignements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récents).</w:t>
      </w:r>
    </w:p>
    <w:p w14:paraId="38A265D0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si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d’impôts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proviennent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municipalités,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4928A697" w14:textId="77777777" w:rsidR="00503955" w:rsidRPr="009343EE" w:rsidRDefault="00503955" w:rsidP="00E05BC3">
      <w:pPr>
        <w:pStyle w:val="ListParagraph"/>
        <w:numPr>
          <w:ilvl w:val="1"/>
          <w:numId w:val="6"/>
        </w:numPr>
        <w:rPr>
          <w:lang w:val="fr-CA"/>
        </w:rPr>
      </w:pP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allant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</w:t>
      </w:r>
      <w:r w:rsidRPr="009343EE">
        <w:rPr>
          <w:vertAlign w:val="superscript"/>
          <w:lang w:val="fr-CA"/>
        </w:rPr>
        <w:t>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janvier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378BDA61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estimatives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visée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utilisant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25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%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estimatives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2021</w:t>
      </w:r>
      <w:r w:rsidRPr="009343EE">
        <w:rPr>
          <w:lang w:val="fr-CA"/>
        </w:rPr>
        <w:t>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renseignements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récents.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comparé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estimatives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renseignements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actuels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concernant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estimatives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disponibles,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estimatives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visée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alors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calculées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l’aide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manière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indiquée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11A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prévisions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budgétaires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révisées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l’année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terminant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2021</w:t>
      </w:r>
      <w:r w:rsidRPr="009343EE">
        <w:rPr>
          <w:lang w:val="fr-CA"/>
        </w:rPr>
        <w:t>.</w:t>
      </w:r>
    </w:p>
    <w:p w14:paraId="0B4587D2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si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d’impôts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proviennent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municipalités,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057828D5" w14:textId="77777777" w:rsidR="00503955" w:rsidRPr="009343EE" w:rsidRDefault="00503955" w:rsidP="00E05BC3">
      <w:pPr>
        <w:pStyle w:val="ListParagraph"/>
        <w:numPr>
          <w:ilvl w:val="1"/>
          <w:numId w:val="6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impôts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supplémentaires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radiations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maximum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municipalités)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soustrayant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inscrit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ligne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3.4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</w:t>
      </w:r>
      <w:r w:rsidR="00FB6747" w:rsidRPr="009343EE">
        <w:rPr>
          <w:lang w:val="fr-CA"/>
        </w:rPr>
        <w:t>u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9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d</w:t>
      </w:r>
      <w:r w:rsidRPr="009343EE">
        <w:rPr>
          <w:lang w:val="fr-CA"/>
        </w:rPr>
        <w:t>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financiers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2019</w:t>
      </w:r>
      <w:r w:rsidRPr="009343EE">
        <w:rPr>
          <w:lang w:val="fr-CA"/>
        </w:rPr>
        <w:t>-</w:t>
      </w:r>
      <w:r w:rsidR="002B08A9">
        <w:rPr>
          <w:lang w:val="fr-CA"/>
        </w:rPr>
        <w:t>2020</w:t>
      </w:r>
      <w:r w:rsidRPr="009343EE">
        <w:rPr>
          <w:lang w:val="fr-CA"/>
        </w:rPr>
        <w:t>.</w:t>
      </w:r>
    </w:p>
    <w:p w14:paraId="6DC326ED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si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d’impôts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proviennent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municipalités,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72B95119" w14:textId="77777777" w:rsidR="00503955" w:rsidRPr="009343EE" w:rsidRDefault="00503955" w:rsidP="00E05BC3">
      <w:pPr>
        <w:pStyle w:val="ListParagraph"/>
        <w:numPr>
          <w:ilvl w:val="1"/>
          <w:numId w:val="6"/>
        </w:numPr>
        <w:rPr>
          <w:lang w:val="fr-CA"/>
        </w:rPr>
      </w:pPr>
      <w:r w:rsidRPr="009343EE">
        <w:rPr>
          <w:lang w:val="fr-CA"/>
        </w:rPr>
        <w:lastRenderedPageBreak/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inscrit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ligne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3.4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(</w:t>
      </w:r>
      <w:r w:rsidR="00797409" w:rsidRPr="009343EE">
        <w:rPr>
          <w:lang w:val="fr-CA"/>
        </w:rPr>
        <w:t>c</w:t>
      </w:r>
      <w:r w:rsidR="00FB6747" w:rsidRPr="009343EE">
        <w:rPr>
          <w:lang w:val="fr-CA"/>
        </w:rPr>
        <w:t>olonne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C.2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20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»)</w:t>
      </w:r>
      <w:r w:rsidRPr="009343EE">
        <w:rPr>
          <w:lang w:val="fr-CA"/>
        </w:rPr>
        <w:t>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demandé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direction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fournir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chiffres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l'appui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inscrite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ligne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3.4.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différence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entre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impôts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supplémentaires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radiations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2021</w:t>
      </w:r>
      <w:r w:rsidRPr="009343EE">
        <w:rPr>
          <w:lang w:val="fr-CA"/>
        </w:rPr>
        <w:t>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renseignements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récents,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impôts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supplémentaires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radiations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maximum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municipalités).</w:t>
      </w:r>
    </w:p>
    <w:p w14:paraId="4A6927CA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si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d’impôts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proviennent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municipalités,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énumérer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3F284607" w14:textId="77777777" w:rsidR="00503955" w:rsidRPr="009343EE" w:rsidRDefault="00503955" w:rsidP="00E05BC3">
      <w:pPr>
        <w:pStyle w:val="ListParagraph"/>
        <w:numPr>
          <w:ilvl w:val="1"/>
          <w:numId w:val="6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total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8a),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8b),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8c)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8d)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recettes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fiscales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locales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(ligne</w:t>
      </w:r>
      <w:r w:rsidR="00A638FD" w:rsidRPr="009343EE">
        <w:rPr>
          <w:lang w:val="fr-CA"/>
        </w:rPr>
        <w:t xml:space="preserve"> </w:t>
      </w:r>
      <w:r w:rsidR="00FB6747" w:rsidRPr="009343EE">
        <w:rPr>
          <w:lang w:val="fr-CA"/>
        </w:rPr>
        <w:t>3.5)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figurant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après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échéant,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C.2.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comparé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C.2,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ligne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1.4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ligne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2.3.</w:t>
      </w:r>
    </w:p>
    <w:p w14:paraId="071345A0" w14:textId="77777777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l’aide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méthode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prescrite,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prorata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nombre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connexe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jours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classe,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calcul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l’affectation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droits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scolarité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visée.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effectué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refléter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calcul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</w:t>
      </w:r>
      <w:r w:rsidR="00704F79" w:rsidRPr="009343EE">
        <w:rPr>
          <w:lang w:val="fr-CA"/>
        </w:rPr>
        <w:t>3.</w:t>
      </w:r>
    </w:p>
    <w:p w14:paraId="0962BEC1" w14:textId="77777777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salaires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avantages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sociaux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gagnés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pendant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visée,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salaires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versés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salaires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gagnés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pendant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visée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2C3CAB5C" w14:textId="77777777" w:rsidR="00503955" w:rsidRPr="009343EE" w:rsidRDefault="00503955" w:rsidP="00E05BC3">
      <w:pPr>
        <w:pStyle w:val="ListParagraph"/>
        <w:numPr>
          <w:ilvl w:val="1"/>
          <w:numId w:val="7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grand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général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versés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paie,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choisissant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maximum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cinq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différents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groupes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d’employés.</w:t>
      </w:r>
    </w:p>
    <w:p w14:paraId="2E86B992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énumérer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0189E505" w14:textId="77777777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calcul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indemnités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vacances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payer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tout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22238F2A" w14:textId="77777777" w:rsidR="00503955" w:rsidRPr="009343EE" w:rsidRDefault="00503955" w:rsidP="00E05BC3">
      <w:pPr>
        <w:pStyle w:val="ListParagraph"/>
        <w:numPr>
          <w:ilvl w:val="1"/>
          <w:numId w:val="8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groupes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d’employés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ayant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élevées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d’indemnités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vacances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payer.</w:t>
      </w:r>
    </w:p>
    <w:p w14:paraId="49380764" w14:textId="77777777" w:rsidR="00503955" w:rsidRPr="009343EE" w:rsidRDefault="00503955" w:rsidP="00E05BC3">
      <w:pPr>
        <w:pStyle w:val="ListParagraph"/>
        <w:numPr>
          <w:ilvl w:val="1"/>
          <w:numId w:val="8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données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échantillon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composé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cinq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employés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(répartis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entre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divers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groupes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d’employés)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lastRenderedPageBreak/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registres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jours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vacances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payer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rémunération.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indemnités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vacances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payer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cinq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employés.</w:t>
      </w:r>
    </w:p>
    <w:p w14:paraId="05805119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énumérer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numéros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d’employé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seulement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26B3EC13" w14:textId="77777777" w:rsidR="00503955" w:rsidRPr="009343EE" w:rsidRDefault="00503955" w:rsidP="00E05BC3">
      <w:pPr>
        <w:pStyle w:val="ListParagraph"/>
        <w:numPr>
          <w:ilvl w:val="1"/>
          <w:numId w:val="8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C.5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».</w:t>
      </w:r>
    </w:p>
    <w:p w14:paraId="5F744D06" w14:textId="77777777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l’exactitude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mathématique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calcul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effectué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prorata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futures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avantages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sociaux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s’y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rapportant,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utilisant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prévisions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2020</w:t>
      </w:r>
      <w:r w:rsidRPr="009343EE">
        <w:rPr>
          <w:lang w:val="fr-CA"/>
        </w:rPr>
        <w:t>-</w:t>
      </w:r>
      <w:r w:rsidR="002B08A9">
        <w:rPr>
          <w:lang w:val="fr-CA"/>
        </w:rPr>
        <w:t>2021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fournies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l’aide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l’évaluation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actuarielle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</w:t>
      </w:r>
      <w:r w:rsidR="00902B33">
        <w:rPr>
          <w:lang w:val="fr-CA"/>
        </w:rPr>
        <w:t>X</w:t>
      </w:r>
      <w:r w:rsidRPr="009343EE">
        <w:rPr>
          <w:lang w:val="fr-CA"/>
        </w:rPr>
        <w:t>X,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n’avons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constaté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aucune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différence.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prévisions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budgétaires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2020</w:t>
      </w:r>
      <w:r w:rsidRPr="009343EE">
        <w:rPr>
          <w:lang w:val="fr-CA"/>
        </w:rPr>
        <w:t>-</w:t>
      </w:r>
      <w:r w:rsidR="002B08A9">
        <w:rPr>
          <w:lang w:val="fr-CA"/>
        </w:rPr>
        <w:t>2021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fournies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l’évaluation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</w:t>
      </w:r>
      <w:r w:rsidR="00902B33">
        <w:rPr>
          <w:lang w:val="fr-CA"/>
        </w:rPr>
        <w:t>X</w:t>
      </w:r>
      <w:r w:rsidRPr="009343EE">
        <w:rPr>
          <w:lang w:val="fr-CA"/>
        </w:rPr>
        <w:t>X,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utilisé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2019</w:t>
      </w:r>
      <w:r w:rsidRPr="009343EE">
        <w:rPr>
          <w:lang w:val="fr-CA"/>
        </w:rPr>
        <w:t>-</w:t>
      </w:r>
      <w:r w:rsidR="002B08A9">
        <w:rPr>
          <w:lang w:val="fr-CA"/>
        </w:rPr>
        <w:t>2020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base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calcul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prorata.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total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futures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avantages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sociaux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total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après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nécessaire,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C.6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ligne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2.20.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apporté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total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C.6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».</w:t>
      </w:r>
    </w:p>
    <w:p w14:paraId="0BBBBAE5" w14:textId="77777777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autres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apportés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3BFDA341" w14:textId="77777777" w:rsidR="00503955" w:rsidRPr="009343EE" w:rsidRDefault="00503955" w:rsidP="00E05BC3">
      <w:pPr>
        <w:pStyle w:val="ListParagraph"/>
        <w:numPr>
          <w:ilvl w:val="1"/>
          <w:numId w:val="9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autres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inclus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C.7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rapportaient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antérieure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demandé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qu’un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apporté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20.</w:t>
      </w:r>
    </w:p>
    <w:p w14:paraId="0C6CDA12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si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étape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46F695C4" w14:textId="77777777" w:rsidR="00503955" w:rsidRPr="009343EE" w:rsidRDefault="00503955" w:rsidP="00E05BC3">
      <w:pPr>
        <w:pStyle w:val="ListParagraph"/>
        <w:numPr>
          <w:ilvl w:val="1"/>
          <w:numId w:val="9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manière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aléatoire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%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question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minimum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cinq)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700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000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$,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est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expliqué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ci-dessous,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comparées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avec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antérieure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inclus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écritures.</w:t>
      </w:r>
    </w:p>
    <w:p w14:paraId="7CDC6700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énumérer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référence;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étape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2E68734C" w14:textId="77777777" w:rsidR="00503955" w:rsidRPr="009343EE" w:rsidRDefault="00503955" w:rsidP="00E05BC3">
      <w:pPr>
        <w:pStyle w:val="ListParagraph"/>
        <w:numPr>
          <w:ilvl w:val="1"/>
          <w:numId w:val="9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nécessitaient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C.7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lastRenderedPageBreak/>
        <w:t>tableaux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assurés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écritures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20,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s’équilibraient.</w:t>
      </w:r>
    </w:p>
    <w:p w14:paraId="781BEDAB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si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étape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s’applique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veuillez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6279A8C3" w14:textId="77777777" w:rsidR="00503955" w:rsidRPr="009343EE" w:rsidRDefault="00503955" w:rsidP="00E05BC3">
      <w:pPr>
        <w:pStyle w:val="ListParagraph"/>
        <w:numPr>
          <w:ilvl w:val="1"/>
          <w:numId w:val="9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demandé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postes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bilan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historiquement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grand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chaque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année,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postes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inclus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indiqués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(Remarque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postes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comprennent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passifs,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créditeurs,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l’intérêt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dette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relative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fonds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d’amortissement,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etc.)</w:t>
      </w:r>
    </w:p>
    <w:p w14:paraId="704C338D" w14:textId="77777777" w:rsidR="00503955" w:rsidRPr="009343EE" w:rsidRDefault="00503955" w:rsidP="00E05BC3">
      <w:pPr>
        <w:pStyle w:val="ListParagraph"/>
        <w:numPr>
          <w:ilvl w:val="1"/>
          <w:numId w:val="9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demandé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s’il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postes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historiquement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inscrits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grand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général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nets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pendant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l’année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retraités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présenter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revenus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bruts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brutes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chaque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année,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postes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inclus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rajustements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indiqués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(Remarque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postes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comprennent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projets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spéciaux,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subventions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gouvernement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fédéral,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projets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d’immobilisations,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etc.)</w:t>
      </w:r>
    </w:p>
    <w:p w14:paraId="3662ABF3" w14:textId="77777777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fonds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activités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scolaires,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inclus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financiers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l’année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terminée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2020</w:t>
      </w:r>
      <w:r w:rsidRPr="009343EE">
        <w:rPr>
          <w:lang w:val="fr-CA"/>
        </w:rPr>
        <w:t>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G.</w:t>
      </w:r>
    </w:p>
    <w:p w14:paraId="026B4958" w14:textId="77777777" w:rsidR="00503955" w:rsidRPr="009343EE" w:rsidRDefault="00503955" w:rsidP="00E05BC3">
      <w:pPr>
        <w:pStyle w:val="ListParagraph"/>
        <w:numPr>
          <w:ilvl w:val="0"/>
          <w:numId w:val="1"/>
        </w:numPr>
        <w:rPr>
          <w:lang w:val="fr-CA"/>
        </w:rPr>
      </w:pP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bureaux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auxiliaires,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inclus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financiers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l’année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terminée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août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2020</w:t>
      </w:r>
      <w:r w:rsidRPr="009343EE">
        <w:rPr>
          <w:lang w:val="fr-CA"/>
        </w:rPr>
        <w:t>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19,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Situation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financière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consolidée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H.</w:t>
      </w:r>
    </w:p>
    <w:p w14:paraId="68E9740E" w14:textId="77777777" w:rsidR="00503955" w:rsidRPr="00306950" w:rsidRDefault="00503955" w:rsidP="00306950">
      <w:pPr>
        <w:pStyle w:val="Heading2A"/>
      </w:pPr>
      <w:r w:rsidRPr="00306950">
        <w:t>II.</w:t>
      </w:r>
      <w:r w:rsidR="00A638FD" w:rsidRPr="00306950">
        <w:t xml:space="preserve"> </w:t>
      </w:r>
      <w:r w:rsidRPr="00306950">
        <w:t>Tableau</w:t>
      </w:r>
      <w:r w:rsidR="00A638FD" w:rsidRPr="00306950">
        <w:t xml:space="preserve"> </w:t>
      </w:r>
      <w:r w:rsidRPr="00306950">
        <w:t>22</w:t>
      </w:r>
    </w:p>
    <w:p w14:paraId="5F163B0B" w14:textId="77777777" w:rsidR="00503955" w:rsidRPr="009343EE" w:rsidRDefault="00503955" w:rsidP="00E05BC3">
      <w:pPr>
        <w:pStyle w:val="ListParagraph"/>
        <w:numPr>
          <w:ilvl w:val="0"/>
          <w:numId w:val="2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détaillée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catégorie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d’actif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concordance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totaux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correspondantes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catégorie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d’actif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22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SIFE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–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Évolution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».</w:t>
      </w:r>
    </w:p>
    <w:p w14:paraId="72E3EC6F" w14:textId="77777777" w:rsidR="00503955" w:rsidRPr="009343EE" w:rsidRDefault="00503955" w:rsidP="00E05BC3">
      <w:pPr>
        <w:pStyle w:val="ListParagraph"/>
        <w:numPr>
          <w:ilvl w:val="0"/>
          <w:numId w:val="2"/>
        </w:numPr>
        <w:rPr>
          <w:lang w:val="fr-CA"/>
        </w:rPr>
      </w:pP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concerne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bâtiments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(40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ans)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terrains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</w:t>
      </w:r>
      <w:r w:rsidRPr="009343EE">
        <w:rPr>
          <w:vertAlign w:val="superscript"/>
          <w:lang w:val="fr-CA"/>
        </w:rPr>
        <w:t>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septembre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2021</w:t>
      </w:r>
      <w:r w:rsidRPr="009343EE">
        <w:rPr>
          <w:lang w:val="fr-CA"/>
        </w:rPr>
        <w:t>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2CF25D8E" w14:textId="77777777"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partir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détaillée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proofErr w:type="gramStart"/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visée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22,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lastRenderedPageBreak/>
        <w:t>échantillon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(cinq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bâtiments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terrains),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qu’il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indiqué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68FBD48B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énumérer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c.-à-d.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d’identification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l’immobilisation;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aucun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n’a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trouvé,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clairement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2015CF09" w14:textId="77777777"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coût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compris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chaque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spécifique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7FB44D61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indiquer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ainsi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l’appui)</w:t>
      </w:r>
    </w:p>
    <w:p w14:paraId="43097C85" w14:textId="77777777"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l’échantillon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indiqué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b),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déterminé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chaque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consigné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conformément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Conventions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comptables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guide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mise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œuvre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provinciale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administrations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publiées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="00D14157" w:rsidRPr="009343EE">
        <w:rPr>
          <w:lang w:val="fr-CA"/>
        </w:rPr>
        <w:t>avril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2021</w:t>
      </w:r>
      <w:r w:rsidRPr="009343EE">
        <w:rPr>
          <w:lang w:val="fr-CA"/>
        </w:rPr>
        <w:t>.</w:t>
      </w:r>
    </w:p>
    <w:p w14:paraId="5DFAE4F0" w14:textId="77777777" w:rsidR="00503955" w:rsidRPr="009343EE" w:rsidRDefault="00503955" w:rsidP="00E05BC3">
      <w:pPr>
        <w:pStyle w:val="ListParagraph"/>
        <w:numPr>
          <w:ilvl w:val="0"/>
          <w:numId w:val="2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cours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7D2DB73B" w14:textId="77777777"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partir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détaillée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mois,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qu’il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indiqué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5DDB4FCA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énumérer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c.-à-d.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d’identification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l’immobilisation;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aucun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n’a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trouvé,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clairement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4190CDE0" w14:textId="77777777"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coût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compris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chaque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spécifique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6B36EDE1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indiquer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d’identification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l’immobilisation,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ainsi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l’appui)</w:t>
      </w:r>
    </w:p>
    <w:p w14:paraId="3550B2F8" w14:textId="77777777"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l’échantillon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indiqué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b),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déterminé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chaque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consigné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conformément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Conventions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comptables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guide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mise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œuvre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provinciale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administrations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publiées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="00D14157" w:rsidRPr="009343EE">
        <w:rPr>
          <w:lang w:val="fr-CA"/>
        </w:rPr>
        <w:t>avril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2021</w:t>
      </w:r>
      <w:r w:rsidRPr="009343EE">
        <w:rPr>
          <w:lang w:val="fr-CA"/>
        </w:rPr>
        <w:t>.</w:t>
      </w:r>
    </w:p>
    <w:p w14:paraId="73EEB306" w14:textId="77777777"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cours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transféré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classe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biens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service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2756F2B4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lastRenderedPageBreak/>
        <w:t>(</w:t>
      </w:r>
      <w:proofErr w:type="gramStart"/>
      <w:r w:rsidRPr="009343EE">
        <w:rPr>
          <w:lang w:val="fr-CA"/>
        </w:rPr>
        <w:t>indiquer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l’élément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c.-à-d.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d’identification,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l’immobilisation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aucun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n’a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trouvé,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clairement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</w:p>
    <w:p w14:paraId="4DA9B13E" w14:textId="77777777"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établi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entre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projet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certificat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d’achèvement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autorisé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l’équivalent.</w:t>
      </w:r>
    </w:p>
    <w:p w14:paraId="020166CD" w14:textId="77777777" w:rsidR="00503955" w:rsidRPr="009343EE" w:rsidRDefault="00503955" w:rsidP="00E05BC3">
      <w:pPr>
        <w:pStyle w:val="ListParagraph"/>
        <w:numPr>
          <w:ilvl w:val="0"/>
          <w:numId w:val="2"/>
        </w:numPr>
        <w:rPr>
          <w:lang w:val="fr-CA"/>
        </w:rPr>
      </w:pP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concerne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l’amortissement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bâtiments</w:t>
      </w:r>
      <w:r w:rsidR="00024C2A">
        <w:rPr>
          <w:lang w:val="fr-CA"/>
        </w:rPr>
        <w:t xml:space="preserve"> </w:t>
      </w:r>
      <w:r w:rsidR="00024C2A" w:rsidRPr="009343EE">
        <w:rPr>
          <w:lang w:val="fr-CA"/>
        </w:rPr>
        <w:t>(40 ans)</w:t>
      </w:r>
      <w:r w:rsidRPr="009343EE">
        <w:rPr>
          <w:lang w:val="fr-CA"/>
        </w:rPr>
        <w:t>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0AD180B2" w14:textId="77777777"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partir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détaillée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mois,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échantillon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cinq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charges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d’amortissement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2242E550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énumérer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amortissements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c.-à-d.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d’identification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l’amortissement)</w:t>
      </w:r>
    </w:p>
    <w:p w14:paraId="7B6404D1" w14:textId="77777777"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l’amortissement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conformément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Conventions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comptables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guide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mise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œuvre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provinciale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administrations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scolaires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publiées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="00D14157" w:rsidRPr="009343EE">
        <w:rPr>
          <w:lang w:val="fr-CA"/>
        </w:rPr>
        <w:t>avril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l’amortissement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déclaré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détaillée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sélectionnées.</w:t>
      </w:r>
    </w:p>
    <w:p w14:paraId="4719C3EB" w14:textId="0B9DA90D" w:rsidR="00503955" w:rsidRPr="009343EE" w:rsidRDefault="00503955" w:rsidP="00E05BC3">
      <w:pPr>
        <w:pStyle w:val="ListParagraph"/>
        <w:numPr>
          <w:ilvl w:val="0"/>
          <w:numId w:val="2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aliénations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bâtiments</w:t>
      </w:r>
      <w:r w:rsidR="00024C2A">
        <w:rPr>
          <w:lang w:val="fr-CA"/>
        </w:rPr>
        <w:t xml:space="preserve"> </w:t>
      </w:r>
      <w:r w:rsidR="00024C2A" w:rsidRPr="009343EE">
        <w:rPr>
          <w:lang w:val="fr-CA"/>
        </w:rPr>
        <w:t xml:space="preserve">(40 ans) </w:t>
      </w:r>
      <w:bookmarkStart w:id="0" w:name="_GoBack"/>
      <w:bookmarkEnd w:id="0"/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terrains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427DE583" w14:textId="77777777"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partir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détaillée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corporelles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mois,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échantillon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trois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aliénations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72DAB5F1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énumérer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aliénations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c.-à-d.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d’identification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l’immobilisation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produit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l’aliénation;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aucune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aliénation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n’a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trouvée,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clairement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ici.)</w:t>
      </w:r>
    </w:p>
    <w:p w14:paraId="4B82D935" w14:textId="77777777"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produit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l’aliénation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(indiquer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c.-à-d.,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contrat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d’achat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vente).</w:t>
      </w:r>
    </w:p>
    <w:p w14:paraId="75D3AD6D" w14:textId="77777777" w:rsidR="00503955" w:rsidRPr="009343EE" w:rsidRDefault="00503955" w:rsidP="00E05BC3">
      <w:pPr>
        <w:pStyle w:val="ListParagraph"/>
        <w:numPr>
          <w:ilvl w:val="1"/>
          <w:numId w:val="2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pertes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l’aliénation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mentionnés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concordance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pertes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l’aliénation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données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conseil.</w:t>
      </w:r>
    </w:p>
    <w:p w14:paraId="54B1335F" w14:textId="77777777" w:rsidR="00503955" w:rsidRPr="00A638FD" w:rsidRDefault="00071F04" w:rsidP="00306950">
      <w:pPr>
        <w:pStyle w:val="Heading2A"/>
      </w:pPr>
      <w:r w:rsidRPr="00A638FD">
        <w:lastRenderedPageBreak/>
        <w:t>III.</w:t>
      </w:r>
      <w:r w:rsidR="00A638FD" w:rsidRPr="00A638FD">
        <w:t xml:space="preserve"> </w:t>
      </w:r>
      <w:r w:rsidRPr="00A638FD">
        <w:t>Tableau</w:t>
      </w:r>
      <w:r w:rsidR="00A638FD" w:rsidRPr="00A638FD">
        <w:t xml:space="preserve"> </w:t>
      </w:r>
      <w:r w:rsidR="00503955" w:rsidRPr="00A638FD">
        <w:t>22A</w:t>
      </w:r>
    </w:p>
    <w:p w14:paraId="2D0C9842" w14:textId="77777777" w:rsidR="00503955" w:rsidRPr="009343EE" w:rsidRDefault="00503955" w:rsidP="00E05BC3">
      <w:pPr>
        <w:pStyle w:val="ListParagraph"/>
        <w:numPr>
          <w:ilvl w:val="0"/>
          <w:numId w:val="3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obtenu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détaillée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destinés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catégorie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d’actif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concordance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totaux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colonnes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correspondantes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catégorie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d’actif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22A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SIFE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–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«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Évolution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destinés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».</w:t>
      </w:r>
    </w:p>
    <w:p w14:paraId="5739E029" w14:textId="77777777" w:rsidR="00503955" w:rsidRPr="009343EE" w:rsidRDefault="00503955" w:rsidP="00E05BC3">
      <w:pPr>
        <w:pStyle w:val="ListParagraph"/>
        <w:numPr>
          <w:ilvl w:val="0"/>
          <w:numId w:val="3"/>
        </w:numPr>
        <w:rPr>
          <w:lang w:val="fr-CA"/>
        </w:rPr>
      </w:pP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concerne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destinés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terrains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améliorations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durée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illimitée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bâtiments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améliorations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terrains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durée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limitée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</w:t>
      </w:r>
      <w:r w:rsidRPr="009343EE">
        <w:rPr>
          <w:vertAlign w:val="superscript"/>
          <w:lang w:val="fr-CA"/>
        </w:rPr>
        <w:t>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septembre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625969F9" w14:textId="77777777" w:rsidR="00503955" w:rsidRPr="009343EE" w:rsidRDefault="00503955" w:rsidP="00E05BC3">
      <w:pPr>
        <w:pStyle w:val="ListParagraph"/>
        <w:numPr>
          <w:ilvl w:val="1"/>
          <w:numId w:val="3"/>
        </w:numPr>
        <w:rPr>
          <w:lang w:val="fr-CA"/>
        </w:rPr>
      </w:pP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partir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détaillée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destinés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visée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tableau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22A,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échantillon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trois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catégorie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terrains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améliorations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durée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illimitée,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catégorie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bâtiments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dans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catégorie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terrains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améliorations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durée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vie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limitée),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cas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échéant,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sommes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assurés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qu’ils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répondaient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critère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transfert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destinés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(chapitre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1201.55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Manuel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CSP)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pendant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1</w:t>
      </w:r>
      <w:r w:rsidRPr="009343EE">
        <w:rPr>
          <w:vertAlign w:val="superscript"/>
          <w:lang w:val="fr-CA"/>
        </w:rPr>
        <w:t>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septembre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2020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31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mars</w:t>
      </w:r>
      <w:r w:rsidR="00A638FD" w:rsidRPr="009343EE">
        <w:rPr>
          <w:lang w:val="fr-CA"/>
        </w:rPr>
        <w:t xml:space="preserve"> </w:t>
      </w:r>
      <w:r w:rsidR="002B08A9">
        <w:rPr>
          <w:lang w:val="fr-CA"/>
        </w:rPr>
        <w:t>2021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1B435093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énumérer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c.-à-d.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d’identification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l’immobilisation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indiquer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transfert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satisfait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critère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exigé;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aucun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ajout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n’a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trouvé,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clairement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ici)</w:t>
      </w:r>
      <w:bookmarkStart w:id="1" w:name="para_92"/>
      <w:bookmarkStart w:id="2" w:name="para_93"/>
      <w:bookmarkStart w:id="3" w:name="para_94"/>
      <w:bookmarkStart w:id="4" w:name="para_95"/>
      <w:bookmarkStart w:id="5" w:name="para_96"/>
      <w:bookmarkStart w:id="6" w:name="para_97"/>
      <w:bookmarkEnd w:id="1"/>
      <w:bookmarkEnd w:id="2"/>
      <w:bookmarkEnd w:id="3"/>
      <w:bookmarkEnd w:id="4"/>
      <w:bookmarkEnd w:id="5"/>
      <w:bookmarkEnd w:id="6"/>
    </w:p>
    <w:p w14:paraId="0076C616" w14:textId="77777777" w:rsidR="00503955" w:rsidRPr="009343EE" w:rsidRDefault="00503955" w:rsidP="00E05BC3">
      <w:pPr>
        <w:pStyle w:val="ListParagraph"/>
        <w:numPr>
          <w:ilvl w:val="1"/>
          <w:numId w:val="3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dépense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supplémentaire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destinés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coût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spécifique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6799F3AF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indiquer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montants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ainsi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l’appui)</w:t>
      </w:r>
    </w:p>
    <w:p w14:paraId="18267B89" w14:textId="77777777" w:rsidR="00503955" w:rsidRPr="009343EE" w:rsidRDefault="00503955" w:rsidP="00E05BC3">
      <w:pPr>
        <w:pStyle w:val="ListParagraph"/>
        <w:numPr>
          <w:ilvl w:val="0"/>
          <w:numId w:val="3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accompli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tâches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suivantes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qui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trait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aliénations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d’actifs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destinés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175DF87C" w14:textId="77777777" w:rsidR="00503955" w:rsidRPr="009343EE" w:rsidRDefault="00503955" w:rsidP="00E05BC3">
      <w:pPr>
        <w:pStyle w:val="ListParagraph"/>
        <w:numPr>
          <w:ilvl w:val="1"/>
          <w:numId w:val="3"/>
        </w:numPr>
        <w:rPr>
          <w:lang w:val="fr-CA"/>
        </w:rPr>
      </w:pP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partir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liste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détaillée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actifs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destinés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période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sept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mois,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un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échantillon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aliénations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comme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:</w:t>
      </w:r>
    </w:p>
    <w:p w14:paraId="0B126BFD" w14:textId="77777777" w:rsidR="00503955" w:rsidRPr="009343EE" w:rsidRDefault="00503955" w:rsidP="009343EE">
      <w:pPr>
        <w:pStyle w:val="ListParagraph"/>
        <w:ind w:left="1440"/>
        <w:rPr>
          <w:lang w:val="fr-CA"/>
        </w:rPr>
      </w:pPr>
      <w:r w:rsidRPr="009343EE">
        <w:rPr>
          <w:lang w:val="fr-CA"/>
        </w:rPr>
        <w:t>(</w:t>
      </w:r>
      <w:proofErr w:type="gramStart"/>
      <w:r w:rsidRPr="009343EE">
        <w:rPr>
          <w:lang w:val="fr-CA"/>
        </w:rPr>
        <w:t>énumérer</w:t>
      </w:r>
      <w:proofErr w:type="gramEnd"/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aliénations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choisies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c.-à-d.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nom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d’identification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l’immobilisation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produit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l’aliénation;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aucune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aliénation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n’a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été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trouvée,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noter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clairement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ici.)</w:t>
      </w:r>
    </w:p>
    <w:p w14:paraId="5CC59290" w14:textId="77777777" w:rsidR="00503955" w:rsidRPr="009343EE" w:rsidRDefault="00503955" w:rsidP="00E05BC3">
      <w:pPr>
        <w:pStyle w:val="ListParagraph"/>
        <w:numPr>
          <w:ilvl w:val="1"/>
          <w:numId w:val="3"/>
        </w:numPr>
        <w:rPr>
          <w:lang w:val="fr-CA"/>
        </w:rPr>
      </w:pPr>
      <w:r w:rsidRPr="009343EE">
        <w:rPr>
          <w:lang w:val="fr-CA"/>
        </w:rPr>
        <w:lastRenderedPageBreak/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produit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l’aliénation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sélectionnés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(indiquer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la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documentation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à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l’appui,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c.-à-d.,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contrat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d’achat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vente).</w:t>
      </w:r>
    </w:p>
    <w:p w14:paraId="22948D5C" w14:textId="77777777" w:rsidR="00503955" w:rsidRPr="009343EE" w:rsidRDefault="00503955" w:rsidP="00E05BC3">
      <w:pPr>
        <w:pStyle w:val="ListParagraph"/>
        <w:numPr>
          <w:ilvl w:val="1"/>
          <w:numId w:val="3"/>
        </w:numPr>
        <w:rPr>
          <w:lang w:val="fr-CA"/>
        </w:rPr>
      </w:pPr>
      <w:r w:rsidRPr="009343EE">
        <w:rPr>
          <w:lang w:val="fr-CA"/>
        </w:rPr>
        <w:t>Nous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recalculé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pertes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ou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l’aliénation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éléments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mentionnés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point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a)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ci-dessus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avons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vérifié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leur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concordance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par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rapport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pertes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et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gains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sur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l’aliénation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immobilisations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aux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données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du</w:t>
      </w:r>
      <w:r w:rsidR="00A638FD" w:rsidRPr="009343EE">
        <w:rPr>
          <w:lang w:val="fr-CA"/>
        </w:rPr>
        <w:t xml:space="preserve"> </w:t>
      </w:r>
      <w:r w:rsidRPr="009343EE">
        <w:rPr>
          <w:lang w:val="fr-CA"/>
        </w:rPr>
        <w:t>conseil.</w:t>
      </w:r>
    </w:p>
    <w:p w14:paraId="37FFBD3E" w14:textId="77777777" w:rsidR="00503955" w:rsidRPr="00A638FD" w:rsidRDefault="00503955" w:rsidP="009343EE">
      <w:pPr>
        <w:rPr>
          <w:lang w:val="fr-CA"/>
        </w:rPr>
      </w:pPr>
      <w:r w:rsidRPr="00A638FD">
        <w:rPr>
          <w:lang w:val="fr-CA"/>
        </w:rPr>
        <w:t>Le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présent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rapport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doit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être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utilisé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uniquement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relativement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à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la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consolidation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renseignements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financiers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conseil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dans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états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financiers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la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province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d’Ontario.</w:t>
      </w:r>
    </w:p>
    <w:p w14:paraId="690BBD8D" w14:textId="77777777" w:rsidR="00503955" w:rsidRPr="00A638FD" w:rsidRDefault="00503955" w:rsidP="009343EE">
      <w:pPr>
        <w:spacing w:after="600"/>
        <w:rPr>
          <w:lang w:val="fr-CA"/>
        </w:rPr>
      </w:pPr>
      <w:r w:rsidRPr="00A638FD">
        <w:rPr>
          <w:lang w:val="fr-CA"/>
        </w:rPr>
        <w:t>Après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avoir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suivi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procédures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décrites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ci-dessus,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nous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n’avons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constaté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aucune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exception,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mis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à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part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celles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qui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sont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indiquées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ci-dessus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(énumérer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ou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numéros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procédures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où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exceptions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ont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été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constatées).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Cependant,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procédures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ne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constituent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pas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une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vérification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tableaux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et,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par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conséquent,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nous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n’exprimons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aucune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opinion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sur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tableaux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19,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20,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22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et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22A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SIFE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31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mars</w:t>
      </w:r>
      <w:r w:rsidR="00A638FD" w:rsidRPr="00A638FD">
        <w:rPr>
          <w:lang w:val="fr-CA"/>
        </w:rPr>
        <w:t xml:space="preserve"> </w:t>
      </w:r>
      <w:r w:rsidR="002B08A9">
        <w:rPr>
          <w:lang w:val="fr-CA"/>
        </w:rPr>
        <w:t>2021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et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pour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les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périodes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1</w:t>
      </w:r>
      <w:r w:rsidRPr="00A638FD">
        <w:rPr>
          <w:vertAlign w:val="superscript"/>
          <w:lang w:val="fr-CA"/>
        </w:rPr>
        <w:t>er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avril</w:t>
      </w:r>
      <w:r w:rsidR="00A638FD" w:rsidRPr="00A638FD">
        <w:rPr>
          <w:lang w:val="fr-CA"/>
        </w:rPr>
        <w:t xml:space="preserve"> </w:t>
      </w:r>
      <w:r w:rsidR="002B08A9">
        <w:rPr>
          <w:lang w:val="fr-CA"/>
        </w:rPr>
        <w:t>2020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31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août</w:t>
      </w:r>
      <w:r w:rsidR="00A638FD" w:rsidRPr="00A638FD">
        <w:rPr>
          <w:lang w:val="fr-CA"/>
        </w:rPr>
        <w:t xml:space="preserve"> </w:t>
      </w:r>
      <w:r w:rsidR="002B08A9">
        <w:rPr>
          <w:lang w:val="fr-CA"/>
        </w:rPr>
        <w:t>2020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et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du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1</w:t>
      </w:r>
      <w:r w:rsidRPr="00A638FD">
        <w:rPr>
          <w:vertAlign w:val="superscript"/>
          <w:lang w:val="fr-CA"/>
        </w:rPr>
        <w:t>er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septembre</w:t>
      </w:r>
      <w:r w:rsidR="00A638FD" w:rsidRPr="00A638FD">
        <w:rPr>
          <w:lang w:val="fr-CA"/>
        </w:rPr>
        <w:t xml:space="preserve"> </w:t>
      </w:r>
      <w:r w:rsidR="002B08A9">
        <w:rPr>
          <w:lang w:val="fr-CA"/>
        </w:rPr>
        <w:t>2020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au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31</w:t>
      </w:r>
      <w:r w:rsidR="00A638FD" w:rsidRPr="00A638FD">
        <w:rPr>
          <w:lang w:val="fr-CA"/>
        </w:rPr>
        <w:t xml:space="preserve"> </w:t>
      </w:r>
      <w:r w:rsidRPr="00A638FD">
        <w:rPr>
          <w:lang w:val="fr-CA"/>
        </w:rPr>
        <w:t>mars</w:t>
      </w:r>
      <w:r w:rsidR="00A638FD" w:rsidRPr="00A638FD">
        <w:rPr>
          <w:lang w:val="fr-CA"/>
        </w:rPr>
        <w:t xml:space="preserve"> </w:t>
      </w:r>
      <w:r w:rsidR="002B08A9">
        <w:rPr>
          <w:lang w:val="fr-CA"/>
        </w:rPr>
        <w:t>2021</w:t>
      </w:r>
      <w:r w:rsidRPr="00A638FD">
        <w:rPr>
          <w:lang w:val="fr-CA"/>
        </w:rPr>
        <w:t>.</w:t>
      </w:r>
    </w:p>
    <w:p w14:paraId="0273B5C0" w14:textId="77777777" w:rsidR="00503955" w:rsidRPr="0032225A" w:rsidRDefault="00503955" w:rsidP="009343EE">
      <w:pPr>
        <w:contextualSpacing/>
      </w:pPr>
      <w:r w:rsidRPr="0032225A">
        <w:t>Comptables</w:t>
      </w:r>
      <w:r w:rsidR="00A638FD">
        <w:t xml:space="preserve"> </w:t>
      </w:r>
      <w:r w:rsidRPr="0032225A">
        <w:t>agréés</w:t>
      </w:r>
    </w:p>
    <w:p w14:paraId="2C102CF7" w14:textId="77777777" w:rsidR="00503955" w:rsidRPr="0032225A" w:rsidRDefault="00503955" w:rsidP="009343EE">
      <w:pPr>
        <w:contextualSpacing/>
      </w:pPr>
      <w:r w:rsidRPr="0032225A">
        <w:t>Ville,</w:t>
      </w:r>
      <w:r w:rsidR="00A638FD">
        <w:t xml:space="preserve"> </w:t>
      </w:r>
      <w:r w:rsidRPr="0032225A">
        <w:t>Canada</w:t>
      </w:r>
    </w:p>
    <w:p w14:paraId="0399CBA4" w14:textId="77777777" w:rsidR="00503955" w:rsidRDefault="00503955" w:rsidP="009343EE">
      <w:pPr>
        <w:contextualSpacing/>
      </w:pPr>
      <w:r w:rsidRPr="0032225A">
        <w:t>Date</w:t>
      </w:r>
    </w:p>
    <w:sectPr w:rsidR="00503955" w:rsidSect="00A638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342D9" w14:textId="77777777" w:rsidR="001E4216" w:rsidRDefault="001E4216">
      <w:r>
        <w:separator/>
      </w:r>
    </w:p>
  </w:endnote>
  <w:endnote w:type="continuationSeparator" w:id="0">
    <w:p w14:paraId="5B31E041" w14:textId="77777777" w:rsidR="001E4216" w:rsidRDefault="001E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00719" w14:textId="77777777" w:rsidR="00DA622F" w:rsidRDefault="00DA62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98650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B946BD" w14:textId="77777777" w:rsidR="009343EE" w:rsidRDefault="009343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24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22FE2" w14:textId="77777777" w:rsidR="00DA622F" w:rsidRDefault="00DA6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5F6C5" w14:textId="77777777" w:rsidR="001E4216" w:rsidRDefault="001E4216">
      <w:r>
        <w:separator/>
      </w:r>
    </w:p>
  </w:footnote>
  <w:footnote w:type="continuationSeparator" w:id="0">
    <w:p w14:paraId="1E7D422C" w14:textId="77777777" w:rsidR="001E4216" w:rsidRDefault="001E4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41841" w14:textId="77777777" w:rsidR="00DA622F" w:rsidRDefault="00DA62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1D210" w14:textId="77777777" w:rsidR="00DA622F" w:rsidRDefault="00DA62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CFC85" w14:textId="77777777" w:rsidR="00DA622F" w:rsidRDefault="00DA62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B6FA8"/>
    <w:multiLevelType w:val="hybridMultilevel"/>
    <w:tmpl w:val="85663EF4"/>
    <w:lvl w:ilvl="0" w:tplc="330CD45A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D88CD1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A52A9"/>
    <w:multiLevelType w:val="hybridMultilevel"/>
    <w:tmpl w:val="8B943D78"/>
    <w:lvl w:ilvl="0" w:tplc="330CD45A">
      <w:start w:val="1"/>
      <w:numFmt w:val="decimal"/>
      <w:lvlRestart w:val="0"/>
      <w:lvlText w:val="%1."/>
      <w:lvlJc w:val="left"/>
      <w:pPr>
        <w:ind w:left="720" w:hanging="360"/>
      </w:pPr>
    </w:lvl>
    <w:lvl w:ilvl="1" w:tplc="1A44E8E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10A49"/>
    <w:multiLevelType w:val="hybridMultilevel"/>
    <w:tmpl w:val="A1389022"/>
    <w:lvl w:ilvl="0" w:tplc="330CD45A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D0BAE"/>
    <w:multiLevelType w:val="hybridMultilevel"/>
    <w:tmpl w:val="9E245AE2"/>
    <w:lvl w:ilvl="0" w:tplc="330CD45A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D88CD1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C0BD3"/>
    <w:multiLevelType w:val="hybridMultilevel"/>
    <w:tmpl w:val="969E911A"/>
    <w:lvl w:ilvl="0" w:tplc="330CD45A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D88CD1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101A1"/>
    <w:multiLevelType w:val="hybridMultilevel"/>
    <w:tmpl w:val="60980D16"/>
    <w:lvl w:ilvl="0" w:tplc="330CD45A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D88CD1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E5E0B"/>
    <w:multiLevelType w:val="hybridMultilevel"/>
    <w:tmpl w:val="3D82323E"/>
    <w:lvl w:ilvl="0" w:tplc="330CD45A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94148"/>
    <w:multiLevelType w:val="hybridMultilevel"/>
    <w:tmpl w:val="86A028F2"/>
    <w:lvl w:ilvl="0" w:tplc="330CD45A">
      <w:start w:val="1"/>
      <w:numFmt w:val="decimal"/>
      <w:lvlRestart w:val="0"/>
      <w:lvlText w:val="%1."/>
      <w:lvlJc w:val="left"/>
      <w:pPr>
        <w:ind w:left="720" w:hanging="360"/>
      </w:pPr>
    </w:lvl>
    <w:lvl w:ilvl="1" w:tplc="22D6CC6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4D88CD1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61D71"/>
    <w:multiLevelType w:val="hybridMultilevel"/>
    <w:tmpl w:val="5C129128"/>
    <w:lvl w:ilvl="0" w:tplc="330CD45A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D88CD1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AC"/>
    <w:rsid w:val="00001A6B"/>
    <w:rsid w:val="00003517"/>
    <w:rsid w:val="000167C6"/>
    <w:rsid w:val="00024C2A"/>
    <w:rsid w:val="00030149"/>
    <w:rsid w:val="000320A9"/>
    <w:rsid w:val="00035B88"/>
    <w:rsid w:val="0003704D"/>
    <w:rsid w:val="00040D07"/>
    <w:rsid w:val="00041DC6"/>
    <w:rsid w:val="00054395"/>
    <w:rsid w:val="00055FC0"/>
    <w:rsid w:val="00057D7F"/>
    <w:rsid w:val="00071F04"/>
    <w:rsid w:val="00077F25"/>
    <w:rsid w:val="000813C5"/>
    <w:rsid w:val="000820C1"/>
    <w:rsid w:val="0008479B"/>
    <w:rsid w:val="00084965"/>
    <w:rsid w:val="00087D79"/>
    <w:rsid w:val="00093BB6"/>
    <w:rsid w:val="00094AF0"/>
    <w:rsid w:val="000A7AF7"/>
    <w:rsid w:val="000A7F8E"/>
    <w:rsid w:val="000B2EB8"/>
    <w:rsid w:val="000B7C84"/>
    <w:rsid w:val="000C5549"/>
    <w:rsid w:val="000D110D"/>
    <w:rsid w:val="000D1EE2"/>
    <w:rsid w:val="000E08A7"/>
    <w:rsid w:val="000E457E"/>
    <w:rsid w:val="000E715F"/>
    <w:rsid w:val="000E7D1F"/>
    <w:rsid w:val="000F062C"/>
    <w:rsid w:val="000F1444"/>
    <w:rsid w:val="000F778D"/>
    <w:rsid w:val="001037AC"/>
    <w:rsid w:val="00105BE0"/>
    <w:rsid w:val="00106B69"/>
    <w:rsid w:val="00114E37"/>
    <w:rsid w:val="00115AA5"/>
    <w:rsid w:val="001168A5"/>
    <w:rsid w:val="00123D56"/>
    <w:rsid w:val="00126CF9"/>
    <w:rsid w:val="00127671"/>
    <w:rsid w:val="00135A64"/>
    <w:rsid w:val="00143B33"/>
    <w:rsid w:val="00143F11"/>
    <w:rsid w:val="00144522"/>
    <w:rsid w:val="00145369"/>
    <w:rsid w:val="00150230"/>
    <w:rsid w:val="00151366"/>
    <w:rsid w:val="00151ED1"/>
    <w:rsid w:val="00155078"/>
    <w:rsid w:val="0015650A"/>
    <w:rsid w:val="00157997"/>
    <w:rsid w:val="00160775"/>
    <w:rsid w:val="00161E9D"/>
    <w:rsid w:val="00162776"/>
    <w:rsid w:val="001665B3"/>
    <w:rsid w:val="001806ED"/>
    <w:rsid w:val="00181E91"/>
    <w:rsid w:val="00184958"/>
    <w:rsid w:val="00187014"/>
    <w:rsid w:val="0019689A"/>
    <w:rsid w:val="001A3836"/>
    <w:rsid w:val="001A44A0"/>
    <w:rsid w:val="001A5E34"/>
    <w:rsid w:val="001A6E2E"/>
    <w:rsid w:val="001B03CB"/>
    <w:rsid w:val="001B1CDC"/>
    <w:rsid w:val="001B2411"/>
    <w:rsid w:val="001B47C0"/>
    <w:rsid w:val="001C3782"/>
    <w:rsid w:val="001D12AF"/>
    <w:rsid w:val="001D4948"/>
    <w:rsid w:val="001D526A"/>
    <w:rsid w:val="001E094F"/>
    <w:rsid w:val="001E2130"/>
    <w:rsid w:val="001E4216"/>
    <w:rsid w:val="001F0940"/>
    <w:rsid w:val="001F7493"/>
    <w:rsid w:val="00205BD3"/>
    <w:rsid w:val="002126B1"/>
    <w:rsid w:val="00217DF4"/>
    <w:rsid w:val="002261D6"/>
    <w:rsid w:val="00226FDA"/>
    <w:rsid w:val="0023453B"/>
    <w:rsid w:val="00245F30"/>
    <w:rsid w:val="00253199"/>
    <w:rsid w:val="00257E3D"/>
    <w:rsid w:val="00260B1E"/>
    <w:rsid w:val="00272378"/>
    <w:rsid w:val="00273085"/>
    <w:rsid w:val="002775BB"/>
    <w:rsid w:val="00283BCE"/>
    <w:rsid w:val="0028486C"/>
    <w:rsid w:val="00285462"/>
    <w:rsid w:val="0028647D"/>
    <w:rsid w:val="0028775B"/>
    <w:rsid w:val="00291EF4"/>
    <w:rsid w:val="00292CD1"/>
    <w:rsid w:val="00296772"/>
    <w:rsid w:val="00297AE6"/>
    <w:rsid w:val="002A29F1"/>
    <w:rsid w:val="002A3DB5"/>
    <w:rsid w:val="002B08A9"/>
    <w:rsid w:val="002B254B"/>
    <w:rsid w:val="002B3391"/>
    <w:rsid w:val="002C05C5"/>
    <w:rsid w:val="002C0F6E"/>
    <w:rsid w:val="002C6068"/>
    <w:rsid w:val="002D4137"/>
    <w:rsid w:val="002D4D13"/>
    <w:rsid w:val="002E5189"/>
    <w:rsid w:val="002E75D1"/>
    <w:rsid w:val="002E7B61"/>
    <w:rsid w:val="002F1EED"/>
    <w:rsid w:val="00300F93"/>
    <w:rsid w:val="00304FBC"/>
    <w:rsid w:val="0030598D"/>
    <w:rsid w:val="00306500"/>
    <w:rsid w:val="00306950"/>
    <w:rsid w:val="00306BFF"/>
    <w:rsid w:val="00312295"/>
    <w:rsid w:val="0031334C"/>
    <w:rsid w:val="00315A30"/>
    <w:rsid w:val="0032225A"/>
    <w:rsid w:val="00322370"/>
    <w:rsid w:val="00324061"/>
    <w:rsid w:val="00324F85"/>
    <w:rsid w:val="00331103"/>
    <w:rsid w:val="0033129A"/>
    <w:rsid w:val="00336CDB"/>
    <w:rsid w:val="003376F2"/>
    <w:rsid w:val="00352191"/>
    <w:rsid w:val="00355302"/>
    <w:rsid w:val="00361D29"/>
    <w:rsid w:val="003672A3"/>
    <w:rsid w:val="00371108"/>
    <w:rsid w:val="00373256"/>
    <w:rsid w:val="00374191"/>
    <w:rsid w:val="00377646"/>
    <w:rsid w:val="00377DC6"/>
    <w:rsid w:val="00380D2B"/>
    <w:rsid w:val="00380DB6"/>
    <w:rsid w:val="00381E40"/>
    <w:rsid w:val="003834EA"/>
    <w:rsid w:val="00386271"/>
    <w:rsid w:val="00393B07"/>
    <w:rsid w:val="003A03CC"/>
    <w:rsid w:val="003A11F2"/>
    <w:rsid w:val="003A19D0"/>
    <w:rsid w:val="003A4361"/>
    <w:rsid w:val="003A4FE1"/>
    <w:rsid w:val="003A566C"/>
    <w:rsid w:val="003A6B17"/>
    <w:rsid w:val="003A6E53"/>
    <w:rsid w:val="003A7DAA"/>
    <w:rsid w:val="003B2F69"/>
    <w:rsid w:val="003B3E45"/>
    <w:rsid w:val="003C1EB0"/>
    <w:rsid w:val="003D0BB2"/>
    <w:rsid w:val="003E18A2"/>
    <w:rsid w:val="003E2F9C"/>
    <w:rsid w:val="003E6DF7"/>
    <w:rsid w:val="003E777D"/>
    <w:rsid w:val="003E7A96"/>
    <w:rsid w:val="003F48E7"/>
    <w:rsid w:val="004017FD"/>
    <w:rsid w:val="0040728A"/>
    <w:rsid w:val="00407499"/>
    <w:rsid w:val="00410484"/>
    <w:rsid w:val="00415EF2"/>
    <w:rsid w:val="00427317"/>
    <w:rsid w:val="00435923"/>
    <w:rsid w:val="00436937"/>
    <w:rsid w:val="0044464E"/>
    <w:rsid w:val="00447CA8"/>
    <w:rsid w:val="00452EC1"/>
    <w:rsid w:val="004530C9"/>
    <w:rsid w:val="00456406"/>
    <w:rsid w:val="00457B93"/>
    <w:rsid w:val="00462E06"/>
    <w:rsid w:val="00463BA5"/>
    <w:rsid w:val="00464BC0"/>
    <w:rsid w:val="00465F43"/>
    <w:rsid w:val="00466457"/>
    <w:rsid w:val="00470B8A"/>
    <w:rsid w:val="0047191A"/>
    <w:rsid w:val="004735D1"/>
    <w:rsid w:val="00474E15"/>
    <w:rsid w:val="00484965"/>
    <w:rsid w:val="00485F2F"/>
    <w:rsid w:val="00493E97"/>
    <w:rsid w:val="004A1B6E"/>
    <w:rsid w:val="004A2091"/>
    <w:rsid w:val="004A2ECE"/>
    <w:rsid w:val="004B0272"/>
    <w:rsid w:val="004B42D0"/>
    <w:rsid w:val="004B6959"/>
    <w:rsid w:val="004C175B"/>
    <w:rsid w:val="004C3429"/>
    <w:rsid w:val="004C738E"/>
    <w:rsid w:val="004D6643"/>
    <w:rsid w:val="004D6D71"/>
    <w:rsid w:val="004D7077"/>
    <w:rsid w:val="004E114A"/>
    <w:rsid w:val="004E2AD9"/>
    <w:rsid w:val="004E3FE4"/>
    <w:rsid w:val="004E43C6"/>
    <w:rsid w:val="004E7C8B"/>
    <w:rsid w:val="004F4B7D"/>
    <w:rsid w:val="004F5076"/>
    <w:rsid w:val="005037D8"/>
    <w:rsid w:val="00503955"/>
    <w:rsid w:val="00504884"/>
    <w:rsid w:val="005061BE"/>
    <w:rsid w:val="00506ED7"/>
    <w:rsid w:val="00511EEC"/>
    <w:rsid w:val="00513ECE"/>
    <w:rsid w:val="00515657"/>
    <w:rsid w:val="00522E4D"/>
    <w:rsid w:val="005252CD"/>
    <w:rsid w:val="00530086"/>
    <w:rsid w:val="00533377"/>
    <w:rsid w:val="005347FD"/>
    <w:rsid w:val="00534BB2"/>
    <w:rsid w:val="00547B23"/>
    <w:rsid w:val="005603F8"/>
    <w:rsid w:val="00561895"/>
    <w:rsid w:val="005625EE"/>
    <w:rsid w:val="00564D9B"/>
    <w:rsid w:val="005654B7"/>
    <w:rsid w:val="00567600"/>
    <w:rsid w:val="005716C1"/>
    <w:rsid w:val="0057385C"/>
    <w:rsid w:val="00581105"/>
    <w:rsid w:val="00582877"/>
    <w:rsid w:val="0058620C"/>
    <w:rsid w:val="00587C16"/>
    <w:rsid w:val="00590887"/>
    <w:rsid w:val="00591C23"/>
    <w:rsid w:val="00591F74"/>
    <w:rsid w:val="0059565B"/>
    <w:rsid w:val="0059758E"/>
    <w:rsid w:val="00597A4C"/>
    <w:rsid w:val="00597E9D"/>
    <w:rsid w:val="005A1C05"/>
    <w:rsid w:val="005B377C"/>
    <w:rsid w:val="005C4228"/>
    <w:rsid w:val="005C6B41"/>
    <w:rsid w:val="005C7CEA"/>
    <w:rsid w:val="005D0D13"/>
    <w:rsid w:val="005D1009"/>
    <w:rsid w:val="005D2447"/>
    <w:rsid w:val="005D33CA"/>
    <w:rsid w:val="005E1228"/>
    <w:rsid w:val="005E53D0"/>
    <w:rsid w:val="005E5EEB"/>
    <w:rsid w:val="005E6600"/>
    <w:rsid w:val="005F0BA3"/>
    <w:rsid w:val="005F578D"/>
    <w:rsid w:val="00601D75"/>
    <w:rsid w:val="00603300"/>
    <w:rsid w:val="006104D3"/>
    <w:rsid w:val="00610A7B"/>
    <w:rsid w:val="0061161E"/>
    <w:rsid w:val="0061380D"/>
    <w:rsid w:val="00615B18"/>
    <w:rsid w:val="006163EE"/>
    <w:rsid w:val="00616952"/>
    <w:rsid w:val="00622094"/>
    <w:rsid w:val="006242FE"/>
    <w:rsid w:val="00632FDE"/>
    <w:rsid w:val="00644009"/>
    <w:rsid w:val="0064442D"/>
    <w:rsid w:val="00644C58"/>
    <w:rsid w:val="006509A0"/>
    <w:rsid w:val="00650C2A"/>
    <w:rsid w:val="00660176"/>
    <w:rsid w:val="00671083"/>
    <w:rsid w:val="00673FB7"/>
    <w:rsid w:val="00677B07"/>
    <w:rsid w:val="00692A24"/>
    <w:rsid w:val="00693B96"/>
    <w:rsid w:val="00697764"/>
    <w:rsid w:val="006A1B08"/>
    <w:rsid w:val="006A4846"/>
    <w:rsid w:val="006A7B29"/>
    <w:rsid w:val="006B2CE3"/>
    <w:rsid w:val="006C1FBE"/>
    <w:rsid w:val="006C623F"/>
    <w:rsid w:val="006C7EAF"/>
    <w:rsid w:val="006D16F4"/>
    <w:rsid w:val="006D1C43"/>
    <w:rsid w:val="006E4840"/>
    <w:rsid w:val="006F06D5"/>
    <w:rsid w:val="006F4F94"/>
    <w:rsid w:val="006F63FD"/>
    <w:rsid w:val="00700BC7"/>
    <w:rsid w:val="00701A68"/>
    <w:rsid w:val="00702167"/>
    <w:rsid w:val="00702590"/>
    <w:rsid w:val="00703ED0"/>
    <w:rsid w:val="00704F79"/>
    <w:rsid w:val="00706634"/>
    <w:rsid w:val="007071E0"/>
    <w:rsid w:val="007117D6"/>
    <w:rsid w:val="00721A1F"/>
    <w:rsid w:val="00722489"/>
    <w:rsid w:val="007235C2"/>
    <w:rsid w:val="00724F09"/>
    <w:rsid w:val="00727E38"/>
    <w:rsid w:val="007315CC"/>
    <w:rsid w:val="007402C6"/>
    <w:rsid w:val="00742A47"/>
    <w:rsid w:val="007460D5"/>
    <w:rsid w:val="007575DB"/>
    <w:rsid w:val="00762A52"/>
    <w:rsid w:val="00763B0D"/>
    <w:rsid w:val="0076447D"/>
    <w:rsid w:val="00764D97"/>
    <w:rsid w:val="00764E29"/>
    <w:rsid w:val="007738A8"/>
    <w:rsid w:val="00774CE8"/>
    <w:rsid w:val="00782122"/>
    <w:rsid w:val="007842D1"/>
    <w:rsid w:val="00787079"/>
    <w:rsid w:val="00790082"/>
    <w:rsid w:val="00792596"/>
    <w:rsid w:val="00794973"/>
    <w:rsid w:val="00795FA4"/>
    <w:rsid w:val="00797409"/>
    <w:rsid w:val="007A1DCC"/>
    <w:rsid w:val="007A1E54"/>
    <w:rsid w:val="007A5B6D"/>
    <w:rsid w:val="007C05EE"/>
    <w:rsid w:val="007C2D8D"/>
    <w:rsid w:val="007C4B42"/>
    <w:rsid w:val="007D000B"/>
    <w:rsid w:val="007D0088"/>
    <w:rsid w:val="007D2D39"/>
    <w:rsid w:val="007D2E6E"/>
    <w:rsid w:val="007D2FDF"/>
    <w:rsid w:val="007D4207"/>
    <w:rsid w:val="007E01FE"/>
    <w:rsid w:val="007E1447"/>
    <w:rsid w:val="007E2776"/>
    <w:rsid w:val="007E5EBA"/>
    <w:rsid w:val="007E6FBF"/>
    <w:rsid w:val="008029DB"/>
    <w:rsid w:val="00811C33"/>
    <w:rsid w:val="00812428"/>
    <w:rsid w:val="0081652D"/>
    <w:rsid w:val="008171E7"/>
    <w:rsid w:val="0082046E"/>
    <w:rsid w:val="00822295"/>
    <w:rsid w:val="00825D55"/>
    <w:rsid w:val="008269FE"/>
    <w:rsid w:val="008322E3"/>
    <w:rsid w:val="00833B86"/>
    <w:rsid w:val="00834F48"/>
    <w:rsid w:val="008371E9"/>
    <w:rsid w:val="00840846"/>
    <w:rsid w:val="00842039"/>
    <w:rsid w:val="008438C8"/>
    <w:rsid w:val="008521AD"/>
    <w:rsid w:val="0085775C"/>
    <w:rsid w:val="0087339B"/>
    <w:rsid w:val="00873E3E"/>
    <w:rsid w:val="008763F6"/>
    <w:rsid w:val="00876F1C"/>
    <w:rsid w:val="00877100"/>
    <w:rsid w:val="00877265"/>
    <w:rsid w:val="00884277"/>
    <w:rsid w:val="00885B6A"/>
    <w:rsid w:val="00887A4A"/>
    <w:rsid w:val="00887BF0"/>
    <w:rsid w:val="00890598"/>
    <w:rsid w:val="008937CF"/>
    <w:rsid w:val="008954FF"/>
    <w:rsid w:val="008A0CD9"/>
    <w:rsid w:val="008A615E"/>
    <w:rsid w:val="008C6D00"/>
    <w:rsid w:val="008C7D73"/>
    <w:rsid w:val="008D14A1"/>
    <w:rsid w:val="008D63FB"/>
    <w:rsid w:val="008D6474"/>
    <w:rsid w:val="008D666A"/>
    <w:rsid w:val="008E14D6"/>
    <w:rsid w:val="008E1E3E"/>
    <w:rsid w:val="00900C1F"/>
    <w:rsid w:val="00902B33"/>
    <w:rsid w:val="0090552C"/>
    <w:rsid w:val="0090661A"/>
    <w:rsid w:val="00915E91"/>
    <w:rsid w:val="009343EE"/>
    <w:rsid w:val="009422F8"/>
    <w:rsid w:val="00942D1C"/>
    <w:rsid w:val="00944062"/>
    <w:rsid w:val="0094502B"/>
    <w:rsid w:val="009543E6"/>
    <w:rsid w:val="00954560"/>
    <w:rsid w:val="00954AB4"/>
    <w:rsid w:val="00962B3F"/>
    <w:rsid w:val="00963023"/>
    <w:rsid w:val="00965622"/>
    <w:rsid w:val="00967C8B"/>
    <w:rsid w:val="0097118F"/>
    <w:rsid w:val="00976414"/>
    <w:rsid w:val="0097743C"/>
    <w:rsid w:val="00977524"/>
    <w:rsid w:val="00977E35"/>
    <w:rsid w:val="00990942"/>
    <w:rsid w:val="00990FE6"/>
    <w:rsid w:val="009947EB"/>
    <w:rsid w:val="009A0D24"/>
    <w:rsid w:val="009A3745"/>
    <w:rsid w:val="009A6F4B"/>
    <w:rsid w:val="009B2A08"/>
    <w:rsid w:val="009B3488"/>
    <w:rsid w:val="009B5052"/>
    <w:rsid w:val="009B511F"/>
    <w:rsid w:val="009B5E9F"/>
    <w:rsid w:val="009B661F"/>
    <w:rsid w:val="009C0826"/>
    <w:rsid w:val="009C30FC"/>
    <w:rsid w:val="009C361C"/>
    <w:rsid w:val="009C7635"/>
    <w:rsid w:val="009C7C0E"/>
    <w:rsid w:val="009D264A"/>
    <w:rsid w:val="009D5E43"/>
    <w:rsid w:val="009D70DA"/>
    <w:rsid w:val="009E668B"/>
    <w:rsid w:val="009F1C6C"/>
    <w:rsid w:val="009F332B"/>
    <w:rsid w:val="009F343A"/>
    <w:rsid w:val="00A003E3"/>
    <w:rsid w:val="00A00B9E"/>
    <w:rsid w:val="00A0269E"/>
    <w:rsid w:val="00A0729C"/>
    <w:rsid w:val="00A075BA"/>
    <w:rsid w:val="00A12E6B"/>
    <w:rsid w:val="00A24375"/>
    <w:rsid w:val="00A31D6B"/>
    <w:rsid w:val="00A3266E"/>
    <w:rsid w:val="00A45E98"/>
    <w:rsid w:val="00A471C0"/>
    <w:rsid w:val="00A47216"/>
    <w:rsid w:val="00A51955"/>
    <w:rsid w:val="00A61D91"/>
    <w:rsid w:val="00A638FD"/>
    <w:rsid w:val="00A75575"/>
    <w:rsid w:val="00A75B7A"/>
    <w:rsid w:val="00A82D3F"/>
    <w:rsid w:val="00A840A3"/>
    <w:rsid w:val="00A90840"/>
    <w:rsid w:val="00A93432"/>
    <w:rsid w:val="00AA5C3B"/>
    <w:rsid w:val="00AA66F0"/>
    <w:rsid w:val="00AB2423"/>
    <w:rsid w:val="00AB3853"/>
    <w:rsid w:val="00AC0E7B"/>
    <w:rsid w:val="00AC2535"/>
    <w:rsid w:val="00AC49B3"/>
    <w:rsid w:val="00AC563C"/>
    <w:rsid w:val="00AD4E09"/>
    <w:rsid w:val="00AD6D05"/>
    <w:rsid w:val="00AD778C"/>
    <w:rsid w:val="00AD7DDC"/>
    <w:rsid w:val="00AE583C"/>
    <w:rsid w:val="00AE5890"/>
    <w:rsid w:val="00AF488E"/>
    <w:rsid w:val="00B06E88"/>
    <w:rsid w:val="00B10CBD"/>
    <w:rsid w:val="00B115F5"/>
    <w:rsid w:val="00B13B9D"/>
    <w:rsid w:val="00B1582E"/>
    <w:rsid w:val="00B20389"/>
    <w:rsid w:val="00B20B76"/>
    <w:rsid w:val="00B23A0C"/>
    <w:rsid w:val="00B2782E"/>
    <w:rsid w:val="00B3230F"/>
    <w:rsid w:val="00B3437E"/>
    <w:rsid w:val="00B35DE8"/>
    <w:rsid w:val="00B44A53"/>
    <w:rsid w:val="00B46A8D"/>
    <w:rsid w:val="00B47742"/>
    <w:rsid w:val="00B51F6E"/>
    <w:rsid w:val="00B53CDD"/>
    <w:rsid w:val="00B53D93"/>
    <w:rsid w:val="00B553D8"/>
    <w:rsid w:val="00B6378C"/>
    <w:rsid w:val="00B63D79"/>
    <w:rsid w:val="00B77B59"/>
    <w:rsid w:val="00B84377"/>
    <w:rsid w:val="00B86248"/>
    <w:rsid w:val="00B9141B"/>
    <w:rsid w:val="00BA627D"/>
    <w:rsid w:val="00BB5288"/>
    <w:rsid w:val="00BB54FF"/>
    <w:rsid w:val="00BB60CC"/>
    <w:rsid w:val="00BB7934"/>
    <w:rsid w:val="00BC4183"/>
    <w:rsid w:val="00BC6351"/>
    <w:rsid w:val="00BD1FF6"/>
    <w:rsid w:val="00BF1CC7"/>
    <w:rsid w:val="00C0118D"/>
    <w:rsid w:val="00C03625"/>
    <w:rsid w:val="00C0404F"/>
    <w:rsid w:val="00C05A20"/>
    <w:rsid w:val="00C05CA6"/>
    <w:rsid w:val="00C20141"/>
    <w:rsid w:val="00C22D37"/>
    <w:rsid w:val="00C27E8D"/>
    <w:rsid w:val="00C35245"/>
    <w:rsid w:val="00C35554"/>
    <w:rsid w:val="00C4054C"/>
    <w:rsid w:val="00C40E28"/>
    <w:rsid w:val="00C4129F"/>
    <w:rsid w:val="00C45E0D"/>
    <w:rsid w:val="00C51BE1"/>
    <w:rsid w:val="00C5726D"/>
    <w:rsid w:val="00C63CCE"/>
    <w:rsid w:val="00C711E4"/>
    <w:rsid w:val="00C73780"/>
    <w:rsid w:val="00C7397A"/>
    <w:rsid w:val="00C750A8"/>
    <w:rsid w:val="00C75E0F"/>
    <w:rsid w:val="00C766B1"/>
    <w:rsid w:val="00C845CF"/>
    <w:rsid w:val="00C84D6F"/>
    <w:rsid w:val="00C923C7"/>
    <w:rsid w:val="00C947F2"/>
    <w:rsid w:val="00C952ED"/>
    <w:rsid w:val="00C97329"/>
    <w:rsid w:val="00CA2F8A"/>
    <w:rsid w:val="00CA4858"/>
    <w:rsid w:val="00CA67CB"/>
    <w:rsid w:val="00CB2164"/>
    <w:rsid w:val="00CB5747"/>
    <w:rsid w:val="00CB5EB7"/>
    <w:rsid w:val="00CB7553"/>
    <w:rsid w:val="00CC2B45"/>
    <w:rsid w:val="00CC3E88"/>
    <w:rsid w:val="00CC4318"/>
    <w:rsid w:val="00CD3EF9"/>
    <w:rsid w:val="00CD669A"/>
    <w:rsid w:val="00CE1D23"/>
    <w:rsid w:val="00CE4D6C"/>
    <w:rsid w:val="00CE6072"/>
    <w:rsid w:val="00CE74EC"/>
    <w:rsid w:val="00CE7B34"/>
    <w:rsid w:val="00CF4431"/>
    <w:rsid w:val="00CF4F30"/>
    <w:rsid w:val="00CF502D"/>
    <w:rsid w:val="00CF5DEC"/>
    <w:rsid w:val="00CF7132"/>
    <w:rsid w:val="00D14157"/>
    <w:rsid w:val="00D2517F"/>
    <w:rsid w:val="00D30FEC"/>
    <w:rsid w:val="00D32EA0"/>
    <w:rsid w:val="00D33624"/>
    <w:rsid w:val="00D42FBC"/>
    <w:rsid w:val="00D45A37"/>
    <w:rsid w:val="00D463E5"/>
    <w:rsid w:val="00D46A5B"/>
    <w:rsid w:val="00D62CD0"/>
    <w:rsid w:val="00D63F9D"/>
    <w:rsid w:val="00D662C0"/>
    <w:rsid w:val="00D728A5"/>
    <w:rsid w:val="00D73A8D"/>
    <w:rsid w:val="00D76E01"/>
    <w:rsid w:val="00D81AED"/>
    <w:rsid w:val="00D83D5D"/>
    <w:rsid w:val="00D852FA"/>
    <w:rsid w:val="00D85FF9"/>
    <w:rsid w:val="00D8613F"/>
    <w:rsid w:val="00D876CF"/>
    <w:rsid w:val="00D92D1D"/>
    <w:rsid w:val="00DA1CEB"/>
    <w:rsid w:val="00DA1D5D"/>
    <w:rsid w:val="00DA232B"/>
    <w:rsid w:val="00DA2392"/>
    <w:rsid w:val="00DA622F"/>
    <w:rsid w:val="00DB3942"/>
    <w:rsid w:val="00DB4799"/>
    <w:rsid w:val="00DB4F12"/>
    <w:rsid w:val="00DB63DC"/>
    <w:rsid w:val="00DB6C33"/>
    <w:rsid w:val="00DC0A5F"/>
    <w:rsid w:val="00DC16FA"/>
    <w:rsid w:val="00DC64D6"/>
    <w:rsid w:val="00DC6CCE"/>
    <w:rsid w:val="00DC7EE5"/>
    <w:rsid w:val="00DD0C54"/>
    <w:rsid w:val="00DD37E5"/>
    <w:rsid w:val="00DE2874"/>
    <w:rsid w:val="00DE4E07"/>
    <w:rsid w:val="00DF3FD9"/>
    <w:rsid w:val="00E028C7"/>
    <w:rsid w:val="00E02CCC"/>
    <w:rsid w:val="00E05BC3"/>
    <w:rsid w:val="00E07F6E"/>
    <w:rsid w:val="00E12731"/>
    <w:rsid w:val="00E148AF"/>
    <w:rsid w:val="00E15701"/>
    <w:rsid w:val="00E25F73"/>
    <w:rsid w:val="00E27594"/>
    <w:rsid w:val="00E32FA8"/>
    <w:rsid w:val="00E37345"/>
    <w:rsid w:val="00E47F4A"/>
    <w:rsid w:val="00E52A53"/>
    <w:rsid w:val="00E55E6A"/>
    <w:rsid w:val="00E70859"/>
    <w:rsid w:val="00E72B26"/>
    <w:rsid w:val="00E76B58"/>
    <w:rsid w:val="00E77BA3"/>
    <w:rsid w:val="00E851FB"/>
    <w:rsid w:val="00E857CB"/>
    <w:rsid w:val="00E862EF"/>
    <w:rsid w:val="00E941F1"/>
    <w:rsid w:val="00E95FA7"/>
    <w:rsid w:val="00E96E86"/>
    <w:rsid w:val="00E96F46"/>
    <w:rsid w:val="00E97514"/>
    <w:rsid w:val="00EA1312"/>
    <w:rsid w:val="00EA1D16"/>
    <w:rsid w:val="00EA624B"/>
    <w:rsid w:val="00EB494B"/>
    <w:rsid w:val="00EB64D2"/>
    <w:rsid w:val="00EB6535"/>
    <w:rsid w:val="00EC0626"/>
    <w:rsid w:val="00EC0C73"/>
    <w:rsid w:val="00EC2E98"/>
    <w:rsid w:val="00EC690E"/>
    <w:rsid w:val="00EE6616"/>
    <w:rsid w:val="00EF1E4C"/>
    <w:rsid w:val="00EF4468"/>
    <w:rsid w:val="00F0122E"/>
    <w:rsid w:val="00F015BE"/>
    <w:rsid w:val="00F0200F"/>
    <w:rsid w:val="00F0452C"/>
    <w:rsid w:val="00F11212"/>
    <w:rsid w:val="00F17B6C"/>
    <w:rsid w:val="00F30782"/>
    <w:rsid w:val="00F31A2C"/>
    <w:rsid w:val="00F405EE"/>
    <w:rsid w:val="00F421A2"/>
    <w:rsid w:val="00F44A7F"/>
    <w:rsid w:val="00F5109B"/>
    <w:rsid w:val="00F51BC2"/>
    <w:rsid w:val="00F54FC3"/>
    <w:rsid w:val="00F554AA"/>
    <w:rsid w:val="00F56E4E"/>
    <w:rsid w:val="00F57B0C"/>
    <w:rsid w:val="00F57E30"/>
    <w:rsid w:val="00F63B42"/>
    <w:rsid w:val="00F64302"/>
    <w:rsid w:val="00F76F9D"/>
    <w:rsid w:val="00F803A7"/>
    <w:rsid w:val="00F80BC5"/>
    <w:rsid w:val="00F84F15"/>
    <w:rsid w:val="00F87ED3"/>
    <w:rsid w:val="00F9251A"/>
    <w:rsid w:val="00F96BCA"/>
    <w:rsid w:val="00FA04BB"/>
    <w:rsid w:val="00FA4DBF"/>
    <w:rsid w:val="00FB0429"/>
    <w:rsid w:val="00FB1069"/>
    <w:rsid w:val="00FB1AD2"/>
    <w:rsid w:val="00FB6215"/>
    <w:rsid w:val="00FB6747"/>
    <w:rsid w:val="00FB7E6C"/>
    <w:rsid w:val="00FC3A57"/>
    <w:rsid w:val="00FC46A4"/>
    <w:rsid w:val="00FE40BE"/>
    <w:rsid w:val="00FF1486"/>
    <w:rsid w:val="00FF15E8"/>
    <w:rsid w:val="00FF1B8E"/>
    <w:rsid w:val="00FF30DE"/>
    <w:rsid w:val="00FF4AE1"/>
    <w:rsid w:val="00FF6733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5BB5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0" w:defSemiHidden="0" w:defUnhideWhenUsed="0" w:defQFormat="0" w:count="376">
    <w:lsdException w:name="Normal" w:locked="1" w:uiPriority="1" w:qFormat="1"/>
    <w:lsdException w:name="heading 1" w:locked="1" w:uiPriority="1" w:qFormat="1"/>
    <w:lsdException w:name="heading 2" w:locked="1" w:semiHidden="1" w:uiPriority="1" w:unhideWhenUsed="1" w:qFormat="1"/>
    <w:lsdException w:name="heading 3" w:locked="1" w:semiHidden="1" w:uiPriority="1" w:unhideWhenUsed="1" w:qFormat="1"/>
    <w:lsdException w:name="heading 4" w:locked="1" w:semiHidden="1" w:uiPriority="1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/>
    <w:lsdException w:name="List Continue 5" w:locked="1"/>
    <w:lsdException w:name="Message Header" w:locked="1"/>
    <w:lsdException w:name="Subtitle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A638FD"/>
    <w:pPr>
      <w:widowControl/>
      <w:spacing w:before="120" w:after="240" w:line="264" w:lineRule="auto"/>
    </w:pPr>
    <w:rPr>
      <w:rFonts w:ascii="Arial" w:hAnsi="Arial"/>
      <w:sz w:val="24"/>
    </w:rPr>
  </w:style>
  <w:style w:type="paragraph" w:styleId="Heading1">
    <w:name w:val="heading 1"/>
    <w:basedOn w:val="Normal"/>
    <w:link w:val="Heading1Char"/>
    <w:uiPriority w:val="1"/>
    <w:qFormat/>
    <w:locked/>
    <w:rsid w:val="00A638FD"/>
    <w:pPr>
      <w:spacing w:before="360" w:after="120"/>
      <w:outlineLvl w:val="0"/>
    </w:pPr>
    <w:rPr>
      <w:rFonts w:eastAsia="Arial"/>
      <w:b/>
      <w:bCs/>
      <w:sz w:val="28"/>
      <w:szCs w:val="32"/>
    </w:rPr>
  </w:style>
  <w:style w:type="paragraph" w:styleId="Heading2">
    <w:name w:val="heading 2"/>
    <w:basedOn w:val="Normal"/>
    <w:link w:val="Heading2Char"/>
    <w:uiPriority w:val="1"/>
    <w:qFormat/>
    <w:locked/>
    <w:rsid w:val="00A638FD"/>
    <w:pPr>
      <w:spacing w:before="360" w:after="120"/>
      <w:outlineLvl w:val="1"/>
    </w:pPr>
    <w:rPr>
      <w:rFonts w:eastAsia="Arial"/>
      <w:b/>
      <w:bCs/>
      <w:sz w:val="26"/>
      <w:szCs w:val="28"/>
    </w:rPr>
  </w:style>
  <w:style w:type="paragraph" w:styleId="Heading3">
    <w:name w:val="heading 3"/>
    <w:basedOn w:val="Normal"/>
    <w:link w:val="Heading3Char"/>
    <w:uiPriority w:val="1"/>
    <w:qFormat/>
    <w:locked/>
    <w:rsid w:val="00A638FD"/>
    <w:pPr>
      <w:spacing w:before="360" w:after="120"/>
      <w:outlineLvl w:val="2"/>
    </w:pPr>
    <w:rPr>
      <w:rFonts w:eastAsia="Arial"/>
      <w:b/>
      <w:bCs/>
      <w:szCs w:val="24"/>
    </w:rPr>
  </w:style>
  <w:style w:type="paragraph" w:styleId="Heading4">
    <w:name w:val="heading 4"/>
    <w:basedOn w:val="Normal"/>
    <w:link w:val="Heading4Char"/>
    <w:uiPriority w:val="1"/>
    <w:qFormat/>
    <w:locked/>
    <w:rsid w:val="00A638FD"/>
    <w:pPr>
      <w:outlineLvl w:val="3"/>
    </w:pPr>
    <w:rPr>
      <w:rFonts w:eastAsia="Arial"/>
      <w:b/>
      <w:b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A638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A638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A638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A638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A638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Body">
    <w:name w:val="Letter Body"/>
    <w:aliases w:val="b,Memo Body"/>
    <w:basedOn w:val="Normal"/>
    <w:rsid w:val="001037AC"/>
    <w:pPr>
      <w:overflowPunct w:val="0"/>
      <w:autoSpaceDE w:val="0"/>
      <w:autoSpaceDN w:val="0"/>
      <w:adjustRightInd w:val="0"/>
      <w:spacing w:before="260" w:line="260" w:lineRule="atLeast"/>
      <w:textAlignment w:val="baseline"/>
    </w:pPr>
  </w:style>
  <w:style w:type="paragraph" w:customStyle="1" w:styleId="Salutation1">
    <w:name w:val="Salutation1"/>
    <w:aliases w:val="st"/>
    <w:basedOn w:val="Normal"/>
    <w:rsid w:val="001037AC"/>
    <w:pPr>
      <w:overflowPunct w:val="0"/>
      <w:autoSpaceDE w:val="0"/>
      <w:autoSpaceDN w:val="0"/>
      <w:adjustRightInd w:val="0"/>
      <w:spacing w:before="260" w:line="260" w:lineRule="atLeast"/>
      <w:textAlignment w:val="baseline"/>
    </w:pPr>
  </w:style>
  <w:style w:type="paragraph" w:customStyle="1" w:styleId="AuditLetter">
    <w:name w:val="AuditLetter"/>
    <w:aliases w:val="aul"/>
    <w:basedOn w:val="Normal"/>
    <w:rsid w:val="001037AC"/>
    <w:pPr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Times" w:hAnsi="Times" w:cs="Times"/>
    </w:rPr>
  </w:style>
  <w:style w:type="paragraph" w:customStyle="1" w:styleId="AuditNumPara1">
    <w:name w:val="AuditNumPara1"/>
    <w:aliases w:val="anp1"/>
    <w:basedOn w:val="AuditLetter"/>
    <w:rsid w:val="001037AC"/>
    <w:pPr>
      <w:ind w:left="720" w:hanging="720"/>
    </w:pPr>
  </w:style>
  <w:style w:type="paragraph" w:customStyle="1" w:styleId="AuditNumPara2">
    <w:name w:val="AuditNumPara2"/>
    <w:aliases w:val="anp2"/>
    <w:basedOn w:val="AuditNumPara1"/>
    <w:rsid w:val="001037AC"/>
    <w:pPr>
      <w:ind w:left="1440"/>
    </w:pPr>
  </w:style>
  <w:style w:type="paragraph" w:styleId="Header">
    <w:name w:val="header"/>
    <w:basedOn w:val="Normal"/>
    <w:link w:val="HeaderChar"/>
    <w:rsid w:val="001037A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DB479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037A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B4799"/>
    <w:rPr>
      <w:sz w:val="24"/>
      <w:szCs w:val="24"/>
    </w:rPr>
  </w:style>
  <w:style w:type="character" w:styleId="PageNumber">
    <w:name w:val="page number"/>
    <w:basedOn w:val="DefaultParagraphFont"/>
    <w:rsid w:val="009B3488"/>
  </w:style>
  <w:style w:type="paragraph" w:styleId="BalloonText">
    <w:name w:val="Balloon Text"/>
    <w:basedOn w:val="Normal"/>
    <w:link w:val="BalloonTextChar"/>
    <w:semiHidden/>
    <w:rsid w:val="005252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B4799"/>
    <w:rPr>
      <w:sz w:val="2"/>
      <w:szCs w:val="2"/>
    </w:rPr>
  </w:style>
  <w:style w:type="paragraph" w:styleId="DocumentMap">
    <w:name w:val="Document Map"/>
    <w:basedOn w:val="Normal"/>
    <w:link w:val="DocumentMapChar"/>
    <w:semiHidden/>
    <w:rsid w:val="008D14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semiHidden/>
    <w:locked/>
    <w:rsid w:val="00DB4799"/>
    <w:rPr>
      <w:sz w:val="2"/>
      <w:szCs w:val="2"/>
    </w:rPr>
  </w:style>
  <w:style w:type="character" w:styleId="CommentReference">
    <w:name w:val="annotation reference"/>
    <w:semiHidden/>
    <w:rsid w:val="00CD669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D669A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D669A"/>
    <w:rPr>
      <w:b/>
      <w:bCs/>
    </w:rPr>
  </w:style>
  <w:style w:type="character" w:customStyle="1" w:styleId="CommentSubjectChar">
    <w:name w:val="Comment Subject Char"/>
    <w:link w:val="CommentSubject"/>
    <w:semiHidden/>
    <w:locked/>
    <w:rPr>
      <w:b/>
      <w:bCs/>
      <w:sz w:val="20"/>
      <w:szCs w:val="20"/>
    </w:rPr>
  </w:style>
  <w:style w:type="paragraph" w:customStyle="1" w:styleId="Revision1">
    <w:name w:val="Revision1"/>
    <w:hidden/>
    <w:semiHidden/>
    <w:rsid w:val="00990FE6"/>
    <w:rPr>
      <w:sz w:val="24"/>
      <w:szCs w:val="24"/>
      <w:lang w:val="fr-CA" w:eastAsia="fr-CA"/>
    </w:rPr>
  </w:style>
  <w:style w:type="table" w:styleId="TableGrid">
    <w:name w:val="Table Grid"/>
    <w:basedOn w:val="TableNormal"/>
    <w:locked/>
    <w:rsid w:val="00115AA5"/>
    <w:rPr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638FD"/>
    <w:pPr>
      <w:spacing w:before="60" w:after="60" w:line="240" w:lineRule="auto"/>
    </w:pPr>
    <w:rPr>
      <w:sz w:val="20"/>
    </w:rPr>
  </w:style>
  <w:style w:type="character" w:customStyle="1" w:styleId="Heading1Char">
    <w:name w:val="Heading 1 Char"/>
    <w:link w:val="Heading1"/>
    <w:uiPriority w:val="1"/>
    <w:rsid w:val="00A638FD"/>
    <w:rPr>
      <w:rFonts w:ascii="Arial" w:eastAsia="Arial" w:hAnsi="Arial"/>
      <w:b/>
      <w:bCs/>
      <w:sz w:val="28"/>
      <w:szCs w:val="32"/>
    </w:rPr>
  </w:style>
  <w:style w:type="character" w:customStyle="1" w:styleId="Heading2Char">
    <w:name w:val="Heading 2 Char"/>
    <w:link w:val="Heading2"/>
    <w:uiPriority w:val="1"/>
    <w:rsid w:val="00A638FD"/>
    <w:rPr>
      <w:rFonts w:ascii="Arial" w:eastAsia="Arial" w:hAnsi="Arial"/>
      <w:b/>
      <w:bCs/>
      <w:sz w:val="26"/>
      <w:szCs w:val="28"/>
    </w:rPr>
  </w:style>
  <w:style w:type="character" w:customStyle="1" w:styleId="Heading3Char">
    <w:name w:val="Heading 3 Char"/>
    <w:link w:val="Heading3"/>
    <w:uiPriority w:val="1"/>
    <w:rsid w:val="00A638FD"/>
    <w:rPr>
      <w:rFonts w:ascii="Arial" w:eastAsia="Arial" w:hAnsi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A638FD"/>
    <w:rPr>
      <w:rFonts w:ascii="Arial" w:eastAsia="Arial" w:hAnsi="Arial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8FD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8FD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8FD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8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8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uiPriority w:val="39"/>
    <w:qFormat/>
    <w:locked/>
    <w:rsid w:val="00A638FD"/>
    <w:pPr>
      <w:spacing w:after="120" w:line="240" w:lineRule="auto"/>
      <w:ind w:left="345" w:hanging="230"/>
    </w:pPr>
    <w:rPr>
      <w:rFonts w:eastAsia="Arial"/>
      <w:b/>
      <w:bCs/>
      <w:szCs w:val="18"/>
    </w:rPr>
  </w:style>
  <w:style w:type="paragraph" w:styleId="TOC2">
    <w:name w:val="toc 2"/>
    <w:basedOn w:val="Normal"/>
    <w:uiPriority w:val="39"/>
    <w:qFormat/>
    <w:locked/>
    <w:rsid w:val="00A638FD"/>
    <w:pPr>
      <w:spacing w:after="120" w:line="240" w:lineRule="auto"/>
      <w:ind w:left="576"/>
    </w:pPr>
    <w:rPr>
      <w:rFonts w:eastAsia="Arial"/>
      <w:bCs/>
    </w:rPr>
  </w:style>
  <w:style w:type="paragraph" w:styleId="TOC3">
    <w:name w:val="toc 3"/>
    <w:basedOn w:val="Normal"/>
    <w:uiPriority w:val="39"/>
    <w:qFormat/>
    <w:locked/>
    <w:rsid w:val="00A638FD"/>
    <w:pPr>
      <w:spacing w:after="120" w:line="240" w:lineRule="auto"/>
      <w:ind w:left="1368"/>
    </w:pPr>
    <w:rPr>
      <w:rFonts w:eastAsia="Arial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A638FD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A638FD"/>
    <w:pPr>
      <w:spacing w:before="24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8FD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locked/>
    <w:rsid w:val="00A638FD"/>
    <w:rPr>
      <w:i/>
      <w:iCs/>
    </w:rPr>
  </w:style>
  <w:style w:type="paragraph" w:styleId="ListParagraph">
    <w:name w:val="List Paragraph"/>
    <w:basedOn w:val="Normal"/>
    <w:uiPriority w:val="1"/>
    <w:qFormat/>
    <w:rsid w:val="00A638FD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38FD"/>
    <w:pPr>
      <w:keepNext/>
      <w:keepLines/>
      <w:spacing w:before="0"/>
      <w:outlineLvl w:val="9"/>
    </w:pPr>
    <w:rPr>
      <w:rFonts w:eastAsiaTheme="majorEastAsia" w:cstheme="majorBidi"/>
      <w:bCs w:val="0"/>
    </w:rPr>
  </w:style>
  <w:style w:type="paragraph" w:customStyle="1" w:styleId="Heading1A">
    <w:name w:val="Heading 1A"/>
    <w:basedOn w:val="Title"/>
    <w:uiPriority w:val="1"/>
    <w:qFormat/>
    <w:rsid w:val="00306950"/>
    <w:pPr>
      <w:jc w:val="center"/>
    </w:pPr>
    <w:rPr>
      <w:b/>
      <w:sz w:val="28"/>
      <w:szCs w:val="48"/>
      <w:lang w:val="fr-CA"/>
    </w:rPr>
  </w:style>
  <w:style w:type="paragraph" w:customStyle="1" w:styleId="Heading2A">
    <w:name w:val="Heading 2A"/>
    <w:basedOn w:val="Heading1"/>
    <w:uiPriority w:val="1"/>
    <w:qFormat/>
    <w:rsid w:val="00306950"/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:configuration xmlns:c="http://ns.axespdf.com/word/configuration">
  <c:group id="Styles">
    <c:group id="__Heading1">
      <c:property id="RoleID" type="string">ParagraphParagraph</c:property>
    </c:group>
    <c:group id="Heading 1A">
      <c:property id="RoleID" type="string">ParagraphHeading</c:property>
    </c:group>
    <c:group id="__Heading2">
      <c:property id="RoleID" type="string">ParagraphParagraph</c:property>
    </c:group>
    <c:group id="Heading 2A">
      <c:property id="RoleID" type="string">ParagraphHeading</c:property>
      <c:property id="Level" type="integer">2</c:property>
    </c:group>
    <c:group id="__Heading3">
      <c:property id="RoleID" type="string">ParagraphParagraph</c:property>
    </c:group>
  </c:group>
  <c:group id="Content"/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4233F67D-1748-4B28-9DBC-28E1CB0A3E1B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3403</Words>
  <Characters>16986</Characters>
  <Application>Microsoft Office Word</Application>
  <DocSecurity>0</DocSecurity>
  <Lines>141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RAPPORT DES COMPTABLES CONCERNANT LA PÉRIODE ALLANT DU 1ER SEPTEMBRE 2015 AU 31 MARS 2016</vt:lpstr>
      <vt:lpstr>RAPPORT DES COMPTABLES CONCERNANT LA PÉRIODE ALLANT</vt:lpstr>
    </vt:vector>
  </TitlesOfParts>
  <LinksUpToDate>false</LinksUpToDate>
  <CharactersWithSpaces>20349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DES COMPTABLES CONCERNANT LA PÉRIODE ALLANT DU 1ER SEPTEMBRE 2015 AU 31 MARS 2016</dc:title>
  <dc:subject/>
  <dc:creator/>
  <cp:keywords>RAPPORT DES COMPTABLES CONCERNANT LA PÉRIODE ALLANT DU 1ER SEPTEMBRE 2015 AU 31 MARS 2016</cp:keywords>
  <dc:description>RAPPORT DES COMPTABLES CONCERNANT LA PÉRIODE ALLANT DU 1ER SEPTEMBRE 2015 AU 31 MARS 2016</dc:description>
  <cp:lastModifiedBy/>
  <cp:revision>1</cp:revision>
  <dcterms:created xsi:type="dcterms:W3CDTF">2019-01-30T16:03:00Z</dcterms:created>
  <dcterms:modified xsi:type="dcterms:W3CDTF">2021-03-24T15:12:00Z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Teresa.Wang@ontario.ca</vt:lpwstr>
  </property>
  <property fmtid="{D5CDD505-2E9C-101B-9397-08002B2CF9AE}" pid="5" name="MSIP_Label_034a106e-6316-442c-ad35-738afd673d2b_SetDate">
    <vt:lpwstr>2019-01-30T16:02:49.1131980Z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Extended_MSFT_Method">
    <vt:lpwstr>Automatic</vt:lpwstr>
  </property>
  <property fmtid="{D5CDD505-2E9C-101B-9397-08002B2CF9AE}" pid="9" name="Sensitivity">
    <vt:lpwstr>OPS - Unclassified Information</vt:lpwstr>
  </property>
</Properties>
</file>